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2791d424b7.htm"/>
        <w:bookmarkStart w:id="1" w:name="ksd32791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Number 333-282178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October 1, 2024) </w:t>
      </w:r>
    </w:p>
    <w:p>
      <w:pPr>
        <w:pStyle w:val="TextBody"/>
        <w:bidi w:val="0"/>
        <w:spacing w:before="240" w:after="0"/>
        <w:jc w:val="center"/>
        <w:rPr>
          <w:rFonts w:ascii="Times New Roman" w:hAnsi="Times New Roman"/>
          <w:sz w:val="36"/>
        </w:rPr>
      </w:pPr>
      <w:r>
        <w:rPr>
          <w:rFonts w:ascii="Times New Roman" w:hAnsi="Times New Roman"/>
          <w:b/>
          <w:sz w:val="36"/>
        </w:rPr>
        <w:t>5,000,000 shares</w:t>
      </w:r>
      <w:r>
        <w:rPr>
          <w:rFonts w:ascii="Times New Roman" w:hAnsi="Times New Roman"/>
          <w:sz w:val="36"/>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466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94660" cy="6762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Innovex International,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The selling stockholders identified in this prospectus supplement (the “</w:t>
      </w:r>
      <w:r>
        <w:rPr>
          <w:rFonts w:ascii="Times New Roman" w:hAnsi="Times New Roman"/>
          <w:b/>
          <w:sz w:val="20"/>
        </w:rPr>
        <w:t>selling stockholders</w:t>
      </w:r>
      <w:r>
        <w:rPr>
          <w:rFonts w:ascii="Times New Roman" w:hAnsi="Times New Roman"/>
          <w:sz w:val="20"/>
        </w:rPr>
        <w:t>”) are offering 5,000,000 shares of common stock, par value $0.01 per share (“</w:t>
      </w:r>
      <w:r>
        <w:rPr>
          <w:rFonts w:ascii="Times New Roman" w:hAnsi="Times New Roman"/>
          <w:b/>
          <w:sz w:val="20"/>
        </w:rPr>
        <w:t>common stock</w:t>
      </w:r>
      <w:r>
        <w:rPr>
          <w:rFonts w:ascii="Times New Roman" w:hAnsi="Times New Roman"/>
          <w:sz w:val="20"/>
        </w:rPr>
        <w:t>”), of Innovex International, Inc. (the “</w:t>
      </w:r>
      <w:r>
        <w:rPr>
          <w:rFonts w:ascii="Times New Roman" w:hAnsi="Times New Roman"/>
          <w:b/>
          <w:sz w:val="20"/>
        </w:rPr>
        <w:t>Company</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us</w:t>
      </w:r>
      <w:r>
        <w:rPr>
          <w:rFonts w:ascii="Times New Roman" w:hAnsi="Times New Roman"/>
          <w:sz w:val="20"/>
        </w:rPr>
        <w:t>” and “</w:t>
      </w:r>
      <w:r>
        <w:rPr>
          <w:rFonts w:ascii="Times New Roman" w:hAnsi="Times New Roman"/>
          <w:b/>
          <w:sz w:val="20"/>
        </w:rPr>
        <w:t>our</w:t>
      </w:r>
      <w:r>
        <w:rPr>
          <w:rFonts w:ascii="Times New Roman" w:hAnsi="Times New Roman"/>
          <w:sz w:val="20"/>
        </w:rPr>
        <w:t xml:space="preserve">”). We will not receive any proceeds from the sale of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agreed to purchase shares of common stock from the selling stockholders at a price of $28.71 per share, which will result in $143,550,000 of proceeds to the selling stockholders before expenses. The underwriter may offer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See “Underwriting” for a description of the compensation payable to the underwriter. </w:t>
      </w:r>
    </w:p>
    <w:p>
      <w:pPr>
        <w:pStyle w:val="TextBody"/>
        <w:bidi w:val="0"/>
        <w:spacing w:before="240" w:after="0"/>
        <w:jc w:val="left"/>
        <w:rPr>
          <w:rFonts w:ascii="Times New Roman" w:hAnsi="Times New Roman"/>
          <w:sz w:val="20"/>
        </w:rPr>
      </w:pPr>
      <w:r>
        <w:rPr>
          <w:rFonts w:ascii="Times New Roman" w:hAnsi="Times New Roman"/>
          <w:sz w:val="20"/>
        </w:rPr>
        <w:t>The common stock is listed on the New York Stock Exchange (the “NYSE”) under the symbol “</w:t>
      </w:r>
      <w:r>
        <w:rPr>
          <w:rFonts w:ascii="Times New Roman" w:hAnsi="Times New Roman"/>
          <w:b/>
          <w:sz w:val="20"/>
        </w:rPr>
        <w:t>INVX</w:t>
      </w:r>
      <w:r>
        <w:rPr>
          <w:rFonts w:ascii="Times New Roman" w:hAnsi="Times New Roman"/>
          <w:sz w:val="20"/>
        </w:rPr>
        <w:t xml:space="preserve">”. The last sale price of the common stock as reported by the NYSE on August 5, 2026 was $30.44 per share.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will be made on or about August 10,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common stock involves risks, including those described in the “</w:t>
      </w:r>
      <w:hyperlink w:anchor="supprom32791_5">
        <w:r>
          <w:rPr>
            <w:rStyle w:val="InternetLink"/>
            <w:rFonts w:ascii="Times New Roman" w:hAnsi="Times New Roman"/>
            <w:b/>
            <w:sz w:val="24"/>
          </w:rPr>
          <w:t>Risk Factors</w:t>
        </w:r>
      </w:hyperlink>
      <w:r>
        <w:rPr>
          <w:rFonts w:ascii="Times New Roman" w:hAnsi="Times New Roman"/>
          <w:b/>
          <w:sz w:val="24"/>
        </w:rPr>
        <w:t xml:space="preserve">” section beginning on page S-3 of this prospectus supplement, on page 1 of the accompanying prospectus and in the documents incorporated by reference in this prospectus supplement and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accuracy or adequacy of the disclosures in the prospectus. Any representation to the contrary is a criminal offense. </w:t>
      </w:r>
    </w:p>
    <w:p>
      <w:pPr>
        <w:pStyle w:val="TextBody"/>
        <w:bidi w:val="0"/>
        <w:spacing w:before="240" w:after="0"/>
        <w:jc w:val="center"/>
        <w:rPr>
          <w:rFonts w:ascii="Times New Roman" w:hAnsi="Times New Roman"/>
          <w:b/>
          <w:sz w:val="28"/>
        </w:rPr>
      </w:pPr>
      <w:r>
        <w:rPr>
          <w:rFonts w:ascii="Times New Roman" w:hAnsi="Times New Roman"/>
          <w:b/>
          <w:sz w:val="28"/>
        </w:rPr>
        <w:t xml:space="preserve">Barclays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
              <w:r>
                <w:rPr>
                  <w:rStyle w:val="InternetLink"/>
                  <w:rFonts w:ascii="Times New Roman" w:hAnsi="Times New Roman"/>
                  <w:sz w:val="20"/>
                </w:rPr>
                <w:t xml:space="preserve">ABOUT THIS PROSPECTUS SUPPLEMENT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2">
              <w:r>
                <w:rPr>
                  <w:rStyle w:val="InternetLink"/>
                  <w:rFonts w:ascii="Times New Roman" w:hAnsi="Times New Roman"/>
                  <w:sz w:val="20"/>
                </w:rPr>
                <w:t xml:space="preserve">WHERE YOU CAN FIND MORE INFORMATION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3">
              <w:r>
                <w:rPr>
                  <w:rStyle w:val="InternetLink"/>
                  <w:rFonts w:ascii="Times New Roman" w:hAnsi="Times New Roman"/>
                  <w:sz w:val="20"/>
                </w:rPr>
                <w:t>CAUTIONARY STATEMENT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4">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9">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0">
              <w:r>
                <w:rPr>
                  <w:rStyle w:val="InternetLink"/>
                  <w:rFonts w:ascii="Times New Roman" w:hAnsi="Times New Roman"/>
                  <w:sz w:val="20"/>
                </w:rPr>
                <w:t xml:space="preserve">CERTAIN ERISA CONSIDERATIONS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32791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3279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3">
              <w:r>
                <w:rPr>
                  <w:rStyle w:val="InternetLink"/>
                  <w:rFonts w:ascii="Times New Roman" w:hAnsi="Times New Roman"/>
                  <w:sz w:val="20"/>
                </w:rPr>
                <w:t xml:space="preserve">CAUTIONARY STATEMENT REGARDING FORWARD-LOOKING STATEMENTS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4">
              <w:r>
                <w:rPr>
                  <w:rStyle w:val="InternetLink"/>
                  <w:rFonts w:ascii="Times New Roman" w:hAnsi="Times New Roman"/>
                  <w:sz w:val="20"/>
                </w:rPr>
                <w:t>INNOVEX INTERNATIONAL,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32791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3279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and supplements and updates the information contained in the accompanying prospectus. The second part is the accompanying prospectus, which provides more general information, some of which may not apply to this offering. Generally, when we use the term “prospectus,” we are referring to both parts combined. You should read this entire prospectus supplement as well as the accompanying prospectus and the documents incorporated by reference that are described under the “Where You Can Find More Information” section in this prospectus supplement. To the extent that any statement in this prospectus supplement is inconsistent with statements made in the accompanying prospectus, you should rely on the information contained in this prospectus supplement, which will be deemed to modify or supersede those made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In making an investment decision, prospective investors must rely on their own examination of us and the terms of this offering, including the merits and risks involved. Neither we, the selling stockholders, the underwriter nor any of our or their respective representatives are making any representation to you regarding the legality of an investment in our common stock by you under applicable laws. You should consult with your own advisors as to legal, tax, business, financial and related aspects of an investment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“Where You Can Find More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supplement, the accompanying prospectus and any free writing prospectus is accurate only as of the date on its respective cover, regardless of the time of delivery of this prospectus supplement or any sale of our common stock, and that any information incorporated by reference herein or therein is accurate only as of the date of the document incorporated by reference, unless we indicate otherwise. You should not assume that the information contained in this prospectus supplement, the documents incorporated by reference in this prospectus supplement or the accompanying base prospectus is accurate as of any date other than the respective dates of those documents. Our business, financial condition, results of operations and prospects may have changed since those dates.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the selling stockholders, the underwriter nor any of our or their respective representatives have authorized anyone to provide you with information different from or in addition to the information contained or incorporated by reference in this prospectus supplement, the accompanying prospectus and any related free writing prospectus that we file with the SEC. Accordingly, neither we, the selling stockholders, the underwriter nor any of our or their respective representatives take any responsibility for, or can provide any assurance as to the reliability of, any information that others may provide.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the selling stockholders, the underwriter nor any of our or their respective representatives are making an offer to sell these securities in any jurisdiction where the offer or sale of such securities would be unlawful.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prospectus, except where the context otherwise requires, the terms “we,” “us” and “our” refer to Innovex International,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32791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We also filed a registration statement on Form S-3, including exhibits, under the Securities Act of 1933, as amended (the “</w:t>
      </w:r>
      <w:r>
        <w:rPr>
          <w:rFonts w:ascii="Times New Roman" w:hAnsi="Times New Roman"/>
          <w:b/>
          <w:sz w:val="20"/>
        </w:rPr>
        <w:t>Securities Act</w:t>
      </w:r>
      <w:r>
        <w:rPr>
          <w:rFonts w:ascii="Times New Roman" w:hAnsi="Times New Roman"/>
          <w:sz w:val="20"/>
        </w:rPr>
        <w:t xml:space="preserve">”), with respect to the securities offered by this prospectus supplement. This prospectus supplement and the accompanying prospectus are part of the registration statement but do not contain all of the information included in the registration statement or the exhibits. You can find our public filings with the SEC on the internet at a website maintained by the SEC located at http://www.sec.gov. We also make available on our internet website our annual, quarterly and current reports and amendments as soon as reasonably practicable after such documents are electronically filed with, or furnished to, the SEC. Our website address is www.innovex-inc.com. The information on our website is not incorporated by reference into this prospectus supplement and does not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specified documents that we file with the SEC,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documents are considered part of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disclosing important information to you by referring you to those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we file later with the SEC will automatically update and supersede information contained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We incorporate by reference the documents listed below (excluding any information furnished and not filed with the SEC), which we filed with the SEC under the Securities Exchange Act of 1934, as amended (the “</w:t>
      </w:r>
      <w:r>
        <w:rPr>
          <w:rFonts w:ascii="Times New Roman" w:hAnsi="Times New Roman"/>
          <w:b/>
          <w:sz w:val="20"/>
        </w:rPr>
        <w:t>Exchange Act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(the “2025 Annual Report”),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incorporated by reference into the 2025 Annual Report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March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 ended </w:t>
            </w:r>
            <w:hyperlink r:id="rId5">
              <w:r>
                <w:rPr>
                  <w:rStyle w:val="InternetLink"/>
                  <w:rFonts w:ascii="Times New Roman" w:hAnsi="Times New Roman"/>
                  <w:sz w:val="20"/>
                </w:rPr>
                <w:t>March 31, 2026</w:t>
              </w:r>
            </w:hyperlink>
            <w:r>
              <w:rPr>
                <w:rFonts w:ascii="Times New Roman" w:hAnsi="Times New Roman"/>
                <w:sz w:val="20"/>
              </w:rPr>
              <w:t xml:space="preserve">, filed with the SEC on May 5, 2026, and for the fiscal quarter ended </w:t>
            </w:r>
            <w:hyperlink r:id="rId6">
              <w:r>
                <w:rPr>
                  <w:rStyle w:val="InternetLink"/>
                  <w:rFonts w:ascii="Times New Roman" w:hAnsi="Times New Roman"/>
                  <w:sz w:val="20"/>
                </w:rPr>
                <w:t>June 30, 2026</w:t>
              </w:r>
            </w:hyperlink>
            <w:r>
              <w:rPr>
                <w:rFonts w:ascii="Times New Roman" w:hAnsi="Times New Roman"/>
                <w:sz w:val="20"/>
              </w:rPr>
              <w:t xml:space="preserve">, filed with the SEC on August 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February 27, 2026</w:t>
              </w:r>
            </w:hyperlink>
            <w:r>
              <w:rPr>
                <w:rFonts w:ascii="Times New Roman" w:hAnsi="Times New Roman"/>
                <w:sz w:val="20"/>
              </w:rPr>
              <w:t xml:space="preserve">, </w:t>
            </w:r>
            <w:hyperlink r:id="rId8">
              <w:r>
                <w:rPr>
                  <w:rStyle w:val="InternetLink"/>
                  <w:rFonts w:ascii="Times New Roman" w:hAnsi="Times New Roman"/>
                  <w:sz w:val="20"/>
                </w:rPr>
                <w:t>March  11, 2026</w:t>
              </w:r>
            </w:hyperlink>
            <w:r>
              <w:rPr>
                <w:rFonts w:ascii="Times New Roman" w:hAnsi="Times New Roman"/>
                <w:sz w:val="20"/>
              </w:rPr>
              <w:t xml:space="preserve">, </w:t>
            </w:r>
            <w:hyperlink r:id="rId9">
              <w:r>
                <w:rPr>
                  <w:rStyle w:val="InternetLink"/>
                  <w:rFonts w:ascii="Times New Roman" w:hAnsi="Times New Roman"/>
                  <w:sz w:val="20"/>
                </w:rPr>
                <w:t>May  11, 2026</w:t>
              </w:r>
            </w:hyperlink>
            <w:r>
              <w:rPr>
                <w:rFonts w:ascii="Times New Roman" w:hAnsi="Times New Roman"/>
                <w:sz w:val="20"/>
              </w:rPr>
              <w:t xml:space="preserve"> and </w:t>
            </w:r>
            <w:hyperlink r:id="rId10">
              <w:r>
                <w:rPr>
                  <w:rStyle w:val="InternetLink"/>
                  <w:rFonts w:ascii="Times New Roman" w:hAnsi="Times New Roman"/>
                  <w:sz w:val="20"/>
                </w:rPr>
                <w:t>June  15, 2026</w:t>
              </w:r>
            </w:hyperlink>
            <w:r>
              <w:rPr>
                <w:rFonts w:ascii="Times New Roman" w:hAnsi="Times New Roman"/>
                <w:sz w:val="20"/>
              </w:rPr>
              <w:t xml:space="preserve"> (as amended by </w:t>
            </w:r>
            <w:hyperlink r:id="rId11">
              <w:r>
                <w:rPr>
                  <w:rStyle w:val="InternetLink"/>
                  <w:rFonts w:ascii="Times New Roman" w:hAnsi="Times New Roman"/>
                  <w:sz w:val="20"/>
                </w:rPr>
                <w:t>Form 8-K/A</w:t>
              </w:r>
            </w:hyperlink>
            <w:r>
              <w:rPr>
                <w:rFonts w:ascii="Times New Roman" w:hAnsi="Times New Roman"/>
                <w:sz w:val="20"/>
              </w:rPr>
              <w:t xml:space="preserve"> filed on July 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included in </w:t>
            </w:r>
            <w:hyperlink r:id="rId12">
              <w:r>
                <w:rPr>
                  <w:rStyle w:val="InternetLink"/>
                  <w:rFonts w:ascii="Times New Roman" w:hAnsi="Times New Roman"/>
                  <w:sz w:val="20"/>
                </w:rPr>
                <w:t>Exhibit 4.2</w:t>
              </w:r>
            </w:hyperlink>
            <w:r>
              <w:rPr>
                <w:rFonts w:ascii="Times New Roman" w:hAnsi="Times New Roman"/>
                <w:sz w:val="20"/>
              </w:rPr>
              <w:t xml:space="preserve"> to the 2025 Annual Report (which updates the description of our common stock contained in our Registration Statement on </w:t>
            </w:r>
            <w:hyperlink r:id="rId13">
              <w:r>
                <w:rPr>
                  <w:rStyle w:val="InternetLink"/>
                  <w:rFonts w:ascii="Times New Roman" w:hAnsi="Times New Roman"/>
                  <w:sz w:val="20"/>
                </w:rPr>
                <w:t xml:space="preserve">Form 8-A/A </w:t>
              </w:r>
            </w:hyperlink>
            <w:r>
              <w:rPr>
                <w:rFonts w:ascii="Times New Roman" w:hAnsi="Times New Roman"/>
                <w:sz w:val="20"/>
              </w:rPr>
              <w:t xml:space="preserve">filed with the SEC on October 17, 1997), including any amendments or reports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in this prospectus supplement any future filings made by Innovex with the SEC under Sections 13(a), 13(c), 14, or 15(d) of the Exchange Act (excluding any information furnished and not filed with the SEC) after the date of this prospectus supplement and before the termination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herein shall be deemed to be modified or superseded for all purposes to the extent that a statement contained in this prospectus supplement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supplement. You may request a copy of these filings (other than an exhibit to a filing unless that exhibit is specifically incorporated by reference into that filing) at no cost by writing or telephoning us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Innovex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19120 Kenswick Drive </w:t>
      </w:r>
    </w:p>
    <w:p>
      <w:pPr>
        <w:pStyle w:val="TextBody"/>
        <w:bidi w:val="0"/>
        <w:spacing w:before="0" w:after="0"/>
        <w:jc w:val="center"/>
        <w:rPr>
          <w:rFonts w:ascii="Times New Roman" w:hAnsi="Times New Roman"/>
          <w:sz w:val="20"/>
        </w:rPr>
      </w:pPr>
      <w:r>
        <w:rPr>
          <w:rFonts w:ascii="Times New Roman" w:hAnsi="Times New Roman"/>
          <w:sz w:val="20"/>
        </w:rPr>
        <w:t xml:space="preserve">Humble, Texas 77338 </w:t>
      </w:r>
    </w:p>
    <w:p>
      <w:pPr>
        <w:pStyle w:val="TextBody"/>
        <w:bidi w:val="0"/>
        <w:spacing w:before="0" w:after="0"/>
        <w:jc w:val="center"/>
        <w:rPr>
          <w:rFonts w:ascii="Times New Roman" w:hAnsi="Times New Roman"/>
          <w:sz w:val="20"/>
        </w:rPr>
      </w:pPr>
      <w:r>
        <w:rPr>
          <w:rFonts w:ascii="Times New Roman" w:hAnsi="Times New Roman"/>
          <w:sz w:val="20"/>
        </w:rPr>
        <w:t xml:space="preserve">(346) 398-0000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32791_3"/>
      <w:bookmarkEnd w:id="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“forward-looking statements” within the meaning of Section 27A of the Securities Act, and Section 21E of the Exchange Act. Statements contained in all parts of this prospectus supplement that are not historical facts are forward-looking statements that involve risks and uncertainties that are beyond our control. You can identify our forward-looking statements by the words “anticipate,” “estimate,” “expect,” “may,” “project,” “believe” and similar expressions, or by our discussion of strategies or trends. Although we believe that the expectations reflected in such forward-looking statements are reasonable, no assurance can be given that these expectations will prove to be correct. These forward-looking statements include the following types of information and statements as they relate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actions taken by the Organization of Petroleum Exporting Countries and the expanded alliance (OPEC+) with respect to their production levels, and the effects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market conditions, political disturbances, war or other global conflicts (including the Russia-Ukraine conflict, the Iran conflict, and other conflicts in the Middle East), terrorist attacks, changes in global trade policies, tariffs and sanctions, weak local economic conditions, and international currency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general economic conditions, including inflationary pressures and interest rates, a general economic slowdown or recession or instability in financial institutions, on economic activity and on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operating results and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scheduled, budgeted and other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planned or estimated cost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strategies, including our ability to successfully identify and consummate strategic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and the availability of expected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restrictions contained in our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sufficient cash to service our indebtedness, fund our capital requirements and generate future profits;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our existing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new applications for our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introduction of new drilling or completion techniques, or services using new technologies subject to patent or other intellectual property protections and the availability and enforceability of such intellectual property protections;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availability of alternative fuels and energy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exploration, development and production activities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our customers, competitors and third-party operators;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pending or future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existing and future laws and governmental regulations (or the interpretation thereof) on us and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customers’ future product and service requirements that may not be cost-effective or within our capabilities;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operations, financial results, business plans and cash needs.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statements are based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(i) risks related to our merger and acquisition activities, including the ultimate outcome and results of integrating operations; the effects of our merger and acquisition activities, including our future financial condition, results of operations, strategy and plans; potential adverse reactions or changes to business relationships resulting from the completion of mergers and acquisitions; expected benefits from mergers and acquisitions and our ability to realize those benefits; the significant costs required to integrate operations; whether mergers or acquisitions related litigation will occur and, if so, the results of any litigation, settlements, and investigations; (ii) operating hazards, natural disasters, weather-related delays, casualty losses, and other matters beyond our control; (iii) acts of terrorism, war or political or civil unrest in the United States or elsewhere; (iv) loss or corruption of our information or a cyberattack on our computer systems; (v) uncertainties pertaining to the litigation filed by Impulse Downhole Solutions Ltd. and Impulse Downhole Tools USA Ltd. against Downhole Well Solutions, LLC (captioned Impulse Downhole Solutions Ltd., and Impulse Downhole Tools USA Ltd v. Downhole Well Solutions, LLC, Civil Action No. 4:23-cv-02954); and (vi) other risks and uncertainties discussed under “Risk Factors” in this prospectus supplement, Part I, Item 1A, “Risk Factors” of the 2025 Annual Report and in other filings made by us from time to time with the SEC. Many of such factors are beyond our ability to control or predict. Any of the factors, or a combination of these factors, could materially affect our future results of operations and the ultimate accuracy of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rom32791_4"/>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provides a brief overview of information contained elsewhere in this prospectus supplement. Because it is abbreviated, this summary does not contain all the information that you should consider before investing in our common stock. You should read the entire prospectus supplement, as well as the accompanying prospectus, and the documents incorporated by reference herein and therein, carefully. You should read “Risk Factors” for more information about important risks that you should consider carefully before investing in our common stock. References to the “selling stockholders” in this prospectus supplement refer to the selling stockholders named under “Selling Stockholders” that are offering shares of common stock in this offering.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Houston-based company established in 2024 following the merger of Dril-Quip, Inc. and Innovex Downhole Solutions, Inc. Our comprehensive portfolio spans the entire lifecycle of a well, and our integrated, innovative products enable seamless transitions from one well phase to the next, driving efficiency, lowering costs and reducing the customer’s rig site service footprint. With locations throughout North America, Latin America, Europe, the Middle East and Asia, our team is readily available wherever our customers operate, providing technical expertise, conventional and innovative technologies, and consistent, high-quality customer service.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Innovex International, Inc. is a Delaware corporation. Our principal executive offices are located at 19120 Kenswick Drive, Humble, Texas 77338, and our telephone number is (346) 398-0000. We maintain a website at www.innovex-inc.com. The information contained on, or accessible through, our website is not incorporated by reference into this prospectus supplement. We make available free of charge, through our website, our periodic reports and other information filed with or furnished to the SEC as soon as reasonably practicable after such material is electronically filed with or furnished to the SEC. Except for information specifically incorporated by reference into this prospectus supplement, the information contained on, or otherwise accessible through, our website or any other website does not constitute a part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 and Investment Activities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regularly evaluate additional acquisition opportunities and frequently engage in discussions with potential sellers. We aim to execute a disciplined acquisition strategy for high-quality opportunities that meet our stringent investment criteria. The timeline required to negotiate and close on any one or more acquisition opportunities is at times unpredictable and can vary greatly.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acquisitions may require material investments and could result in significant modifications to our previously announced capital plans, both in the aggregate amount of capital expenditures to be made and a reallocation of capital. Our acquisitions are typically structured as cash, stock, or combined cash-and-stock purchase transactions, which we have historically funded with a mix of revolving credit facility borrowings, cash generated from operations, and debt and/or equity issuances.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7" w:type="dxa"/>
            <w:tcBorders/>
          </w:tcPr>
          <w:p>
            <w:pPr>
              <w:pStyle w:val="TableContents"/>
              <w:bidi w:val="0"/>
              <w:spacing w:before="0" w:after="283"/>
              <w:jc w:val="left"/>
              <w:rPr/>
            </w:pPr>
            <w:r>
              <w:rPr/>
              <w:t xml:space="preserve">Innovex International,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outstanding before this offering </w:t>
            </w:r>
          </w:p>
        </w:tc>
        <w:tc>
          <w:tcPr>
            <w:tcW w:w="6328" w:type="dxa"/>
            <w:tcBorders/>
          </w:tcPr>
          <w:p>
            <w:pPr>
              <w:pStyle w:val="TableContents"/>
              <w:bidi w:val="0"/>
              <w:spacing w:before="0" w:after="283"/>
              <w:jc w:val="left"/>
              <w:rPr/>
            </w:pPr>
            <w:r>
              <w:rPr/>
              <w:t xml:space="preserve">69,935,827 shares, which excludes approximately 5,814,574 shares of common stock reserved for issuance pursuant to our equity compensation plan and approximately 1,466,008 shares of common stock that have been granted pursuant to our equity compensation plan but have not yet vested.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stockholders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5,000,000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immediately after this offering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69,935,827 shares, which excludes approximately 5,814,574 shares of common stock reserved for issuance pursuant to our equity compensation plan and approximately 1,466,008 shares of common stock that have been granted pursuant to our equity compensation plan but have not yet vested.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We will not receive any of the proceeds from the sale of shares of our common stock by the selling stockholders in this offering.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9" w:type="dxa"/>
            <w:tcBorders/>
          </w:tcPr>
          <w:p>
            <w:pPr>
              <w:pStyle w:val="TableContents"/>
              <w:bidi w:val="0"/>
              <w:spacing w:before="0" w:after="283"/>
              <w:jc w:val="left"/>
              <w:rPr/>
            </w:pPr>
            <w:r>
              <w:rPr/>
              <w:t xml:space="preserve">See “Risk Factors” beginning on page S-3 and the other information included in, or incorporated by reference into, this prospectus supplement and the accompanying prospectus for a discussion of certain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Dividend policy </w:t>
            </w:r>
          </w:p>
        </w:tc>
        <w:tc>
          <w:tcPr>
            <w:tcW w:w="6328" w:type="dxa"/>
            <w:tcBorders/>
          </w:tcPr>
          <w:p>
            <w:pPr>
              <w:pStyle w:val="TableContents"/>
              <w:bidi w:val="0"/>
              <w:spacing w:before="0" w:after="283"/>
              <w:jc w:val="left"/>
              <w:rPr/>
            </w:pPr>
            <w:r>
              <w:rPr/>
              <w:t>We have not paid regular dividends in the past and do not currently anticipate paying any dividends in the foreseeable future. We intend to reinvest any retained earnings for the future operation and development of our business, or to use for potential stock repurchases or acquisition opportunities. The board of directors of the Company (the “</w:t>
            </w:r>
            <w:r>
              <w:rPr>
                <w:b/>
              </w:rPr>
              <w:t>Board</w:t>
            </w:r>
            <w:r>
              <w:rPr/>
              <w:t xml:space="preserve">”) will review this policy on a regular basis in light of our earnings, financial position and market opportunities.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 federal income tax considerations for non-U.S. holders </w:t>
            </w:r>
          </w:p>
        </w:tc>
        <w:tc>
          <w:tcPr>
            <w:tcW w:w="6328" w:type="dxa"/>
            <w:tcBorders/>
          </w:tcPr>
          <w:p>
            <w:pPr>
              <w:pStyle w:val="TableContents"/>
              <w:bidi w:val="0"/>
              <w:spacing w:before="0" w:after="283"/>
              <w:jc w:val="left"/>
              <w:rPr/>
            </w:pPr>
            <w:r>
              <w:rPr/>
              <w:t xml:space="preserve">For a discussion of U.S. federal income tax considerations that may be relevant for non-U.S. stockholders, see “Material U.S. Federal Income Tax Considerations for Non-U.S. 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Transfer agent and registrar </w:t>
            </w:r>
          </w:p>
        </w:tc>
        <w:tc>
          <w:tcPr>
            <w:tcW w:w="6327" w:type="dxa"/>
            <w:tcBorders/>
          </w:tcPr>
          <w:p>
            <w:pPr>
              <w:pStyle w:val="TableContents"/>
              <w:bidi w:val="0"/>
              <w:spacing w:before="0" w:after="283"/>
              <w:jc w:val="left"/>
              <w:rPr/>
            </w:pPr>
            <w:r>
              <w:rPr/>
              <w:t xml:space="preserve">Computershare Shareowner Services LLC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Listing and trading symbol </w:t>
            </w:r>
          </w:p>
        </w:tc>
        <w:tc>
          <w:tcPr>
            <w:tcW w:w="6330" w:type="dxa"/>
            <w:tcBorders/>
          </w:tcPr>
          <w:p>
            <w:pPr>
              <w:pStyle w:val="TableContents"/>
              <w:bidi w:val="0"/>
              <w:spacing w:before="0" w:after="283"/>
              <w:jc w:val="left"/>
              <w:rPr/>
            </w:pPr>
            <w:r>
              <w:rPr/>
              <w:t xml:space="preserve">Our common stock is traded on the NYSE under the symbol “INVX.”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3279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Any investment in shares of our common stock involves a high degree of risk. You should carefully consider the risks described below and all the information contained in this prospectus supplement, the accompanying prospectus, any free writing prospectus and the documents incorporated by reference herein and therein before deciding whether to purchase shares of our common stock. In particular you should carefully consider, among other things, the risks to our business and other matters described in the 2025 Annual Report, and other filings we make with the SEC incorporated by reference into this prospectus supplement and the accompanying prospectus. If any such risks and uncertainties actually occur, you may lose all or part of your investment. Additional risks and uncertainties not presently known to us or that we currently deem immaterial may also impair our business, financial condition or results of operations and result in a loss of all or part of your investment.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This Offering and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market price of our common stock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and the price at which we may sell common stock in the future are subject to large fluctuations in response to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trading volume in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variations in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financial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natural gas and oil;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and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additional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involvement in litigation; and other events.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Amberjack Capital Partners L.P. (“Amberjack”) and its affiliates have the ability to exercise significant influence over certain corporate actions. </w:t>
      </w:r>
    </w:p>
    <w:p>
      <w:pPr>
        <w:pStyle w:val="TextBody"/>
        <w:bidi w:val="0"/>
        <w:spacing w:before="120" w:after="0"/>
        <w:jc w:val="left"/>
        <w:rPr>
          <w:rFonts w:ascii="Times New Roman" w:hAnsi="Times New Roman"/>
          <w:sz w:val="20"/>
        </w:rPr>
      </w:pPr>
      <w:r>
        <w:rPr>
          <w:rFonts w:ascii="Times New Roman" w:hAnsi="Times New Roman"/>
          <w:sz w:val="20"/>
        </w:rPr>
        <w:t>Amberjack and its affiliates currently beneficially own approximately 33% of our outstanding common stock, and upon completion of this offering, Amberjack and its affiliates will continue to beneficially own approximately 26% of our outstanding common stock. As a result, these stockholders could continue to have significant influence over the outcome of matters requiring a stockholder vote, including the election of directors, the adoption of any amendment to our bylaws and the approval of mergers and other significant corporate transactions. Their influence over us may have the effect of delaying or preventing a change of control or may adversely affect the voting and other rights of other stockholders. In addition, pursuant to the terms of the stockholders’ agreement entered into in connection with the closing of the merger of Dril-Quip, Inc. and Innovex Downhole Solutions, Inc. (the “</w:t>
      </w:r>
      <w:r>
        <w:rPr>
          <w:rFonts w:ascii="Times New Roman" w:hAnsi="Times New Roman"/>
          <w:b/>
          <w:sz w:val="20"/>
        </w:rPr>
        <w:t>Merger</w:t>
      </w:r>
      <w:r>
        <w:rPr>
          <w:rFonts w:ascii="Times New Roman" w:hAnsi="Times New Roman"/>
          <w:sz w:val="20"/>
        </w:rPr>
        <w:t>”) (the “</w:t>
      </w:r>
      <w:r>
        <w:rPr>
          <w:rFonts w:ascii="Times New Roman" w:hAnsi="Times New Roman"/>
          <w:b/>
          <w:sz w:val="20"/>
        </w:rPr>
        <w:t>Stockholders Agreement</w:t>
      </w:r>
      <w:r>
        <w:rPr>
          <w:rFonts w:ascii="Times New Roman" w:hAnsi="Times New Roman"/>
          <w:sz w:val="20"/>
        </w:rPr>
        <w:t xml:space="preserve">”), subject to certain exceptions, Amberjack and its affiliates have the right to designate a certain number of nominees for election to our Board based on its ownership of common stock and will continue to have this right following completion of this offering. Under the Stockholders Agreement, Amberjack currently has the right to designate three nominees for election to our Board, but following this offering, Amberjack will have the right to designate only two nominees for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a substantial number of shares of common stock in the public markets, or the perception that such sales could occur, could reduce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Sales of a substantial number of shares of common stock in the public markets, or the perception that such sales could occur, could reduce the market price of our common stock. Under the registration rights agreement, dated September 6, 2024 (the “</w:t>
      </w:r>
      <w:r>
        <w:rPr>
          <w:rFonts w:ascii="Times New Roman" w:hAnsi="Times New Roman"/>
          <w:b/>
          <w:sz w:val="20"/>
        </w:rPr>
        <w:t>Registration Rights Agreement</w:t>
      </w:r>
      <w:r>
        <w:rPr>
          <w:rFonts w:ascii="Times New Roman" w:hAnsi="Times New Roman"/>
          <w:sz w:val="20"/>
        </w:rPr>
        <w:t xml:space="preserve">”), among us and the selling stockholders, we agreed to register the resale of 29,369,822 shares of our common stock that were issued to the selling stockholders in the Merger. Following the completion of this offering, the selling stockholders will own 17,757,322 shares of our common stock that we have registered for resale. Subject to the restrictions set forth in the following paragraph, the selling stockholders may sell such shares in their discretion. We are unable to predict the effect that future sales by the selling stockholders or sales by other stockholders may have on the prevailing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described in the “Underwriting” section of this prospectus supplement, we, our officers and directors and the selling stockholders have agreed to enter into lock-up agreements with the underwriter of this offering pursuant to which we and they have agreed, or will agree, that we and they will not sell, dispose of or hedge any shares of common stock or any securities convertible into or exchangeable for shares of common stock for a period of 45 days after the date of this prospectus supplement. The underwriter may permit us, our officers, our directors or the selling stockholders to sell shares prior to the end of the lock-up period. Sales of a substantial number of such shares upon expiration of, or the perception that such sales may occur, or early release of the securities subject to the lock-up agreements, could cause our stock price to fall or make it more difficult for you to sell common stock at a time and price that you deem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in this offering may experience future dilution.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effect acquisitions or for other purposes, we may in the future offer additional shares of common stock or other securities convertible into, or exchangeable for, common stock at prices that may be less than the price per share of this offering. We cannot assure you that we will be able to sell shares or other securities in any other offering at a price per share that is equal to or greater than the price per share paid by investors in this offering. If the price per share at which we sell additional shares of common stock or related securities in future transactions is less than the price per share in this offering, investors who purchase common stock in this offering will experience dilution of their investment. In addition, equity awards under our share-based compensation plan may result in further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certificate of incorporation and bylaws and under Delaware law could make an acquisition of the Company, which may be beneficial to our stockholders, more difficult and may prevent attempts by our stockholders to replace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certificate of incorporation and our bylaws may discourage, delay or prevent a merger, acquisition or other change in control of the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relating to the classification, nomination and removal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regulating the ability of our stockholders to bring matters for action at annual meetings of our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requiring the approval of the holders of at least 80% of our voting stock for a broad range of business combination transactions with related persons;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authorization given to our Board to issue and set the terms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In addition, Section 203 of the General Corporation Law of the State of Delaware (the “</w:t>
      </w:r>
      <w:r>
        <w:rPr>
          <w:rFonts w:ascii="Times New Roman" w:hAnsi="Times New Roman"/>
          <w:b/>
          <w:sz w:val="20"/>
        </w:rPr>
        <w:t>DGCL</w:t>
      </w:r>
      <w:r>
        <w:rPr>
          <w:rFonts w:ascii="Times New Roman" w:hAnsi="Times New Roman"/>
          <w:sz w:val="20"/>
        </w:rPr>
        <w:t xml:space="preserve">”) prohibits a publicly held Delaware corporation from engaging in a business combination with an interested stockholder, unless the business combination is approved in a prescribed manner. An interested stockholder includes a person, individually or together with any other interested stockholder, who within the last three years has owned 15% of our voting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declaring or paying any cash dividends to holders of our common stock in the foreseeable future, and our existing debt agreements place certain restrictions on our 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any cash dividends to holders of our common stock in the foreseeable future. We currently intend to retain all future earnings, if any, to finance the growth and development of our business, and the payment of future dividends will be at the discretion of our Board and will depend upon then-existing conditions, including our results of operations, financial condition, capital requirements, investment opportunities, statutory restrictions on our ability to pay dividends and other factors our Board may deem relevant. In addition, our existing debt agreements place, and we expect our future debt agreements will place, certain restrictions on our ability to pay cash dividends. Consequently, unless we revise our dividend policy, your only opportunity to achieve a return on your investment is if the price of our common stock appreciates. There is no guarantee that the price of our common stock that will prevail in the market will ever exceed the price that you pay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3279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common stock by the selling stockholders. The selling stockholders will receive all of the net proceeds from the sale of these shares. See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32791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regular dividends in the past and do not currently anticipate paying any dividends in the foreseeable future. We intend to reinvest any retained earnings for the future operation and development of our business, or to use for potential stock repurchases or acquisition opportunities. Our Board will review this policy on a regular basis in light of our earnings, financial position and market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32791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certain information known to us with respect to the beneficial ownership of the shares of common stock held by the selling stockholders before and after giving effect to this offering. The percent of beneficial ownership for the selling stockholders is based on 69,935,827 shares of common stock issued and outstanding as of August 4,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3"/>
        <w:gridCol w:w="75"/>
        <w:gridCol w:w="75"/>
        <w:gridCol w:w="1396"/>
        <w:gridCol w:w="75"/>
        <w:gridCol w:w="164"/>
        <w:gridCol w:w="76"/>
        <w:gridCol w:w="726"/>
        <w:gridCol w:w="275"/>
        <w:gridCol w:w="75"/>
        <w:gridCol w:w="78"/>
        <w:gridCol w:w="1279"/>
        <w:gridCol w:w="59"/>
        <w:gridCol w:w="145"/>
        <w:gridCol w:w="121"/>
        <w:gridCol w:w="2236"/>
        <w:gridCol w:w="121"/>
        <w:gridCol w:w="253"/>
        <w:gridCol w:w="121"/>
        <w:gridCol w:w="1140"/>
        <w:gridCol w:w="282"/>
      </w:tblGrid>
      <w:tr>
        <w:trPr/>
        <w:tc>
          <w:tcPr>
            <w:tcW w:w="1433"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3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12" w:type="dxa"/>
            <w:gridSpan w:val="6"/>
            <w:tcBorders>
              <w:bottom w:val="single" w:sz="8" w:space="0" w:color="000000"/>
            </w:tcBorders>
            <w:tcMar>
              <w:bottom w:w="28" w:type="dxa"/>
            </w:tcMar>
            <w:vAlign w:val="bottom"/>
          </w:tcPr>
          <w:p>
            <w:pPr>
              <w:pStyle w:val="TableContents"/>
              <w:bidi w:val="0"/>
              <w:spacing w:before="0" w:after="283"/>
              <w:jc w:val="right"/>
              <w:rPr>
                <w:b/>
              </w:rPr>
            </w:pPr>
            <w:r>
              <w:rPr>
                <w:b/>
              </w:rPr>
              <w:t>Shares of common stock</w:t>
              <w:br/>
              <w:t>beneficially</w:t>
              <w:br/>
              <w:t>owned prior to the</w:t>
              <w:br/>
              <w:t>offering(1)</w:t>
            </w:r>
          </w:p>
        </w:tc>
        <w:tc>
          <w:tcPr>
            <w:tcW w:w="275" w:type="dxa"/>
            <w:tcBorders/>
            <w:vAlign w:val="bottom"/>
          </w:tcPr>
          <w:p>
            <w:pPr>
              <w:pStyle w:val="TableContents"/>
              <w:bidi w:val="0"/>
              <w:spacing w:before="0" w:after="283"/>
              <w:jc w:val="left"/>
              <w:rPr/>
            </w:pPr>
            <w:r>
              <w:rPr/>
              <w:t> </w:t>
            </w:r>
          </w:p>
        </w:tc>
        <w:tc>
          <w:tcPr>
            <w:tcW w:w="75" w:type="dxa"/>
            <w:vMerge w:val="restart"/>
            <w:tcBorders/>
            <w:vAlign w:val="bottom"/>
          </w:tcPr>
          <w:p>
            <w:pPr>
              <w:pStyle w:val="TableContents"/>
              <w:bidi w:val="0"/>
              <w:spacing w:before="0" w:after="283"/>
              <w:jc w:val="left"/>
              <w:rPr/>
            </w:pPr>
            <w:r>
              <w:rPr/>
              <w:t> </w:t>
            </w:r>
          </w:p>
        </w:tc>
        <w:tc>
          <w:tcPr>
            <w:tcW w:w="1357" w:type="dxa"/>
            <w:gridSpan w:val="2"/>
            <w:vMerge w:val="restart"/>
            <w:tcBorders>
              <w:bottom w:val="single" w:sz="8" w:space="0" w:color="000000"/>
            </w:tcBorders>
            <w:tcMar>
              <w:bottom w:w="28" w:type="dxa"/>
            </w:tcMar>
            <w:vAlign w:val="bottom"/>
          </w:tcPr>
          <w:p>
            <w:pPr>
              <w:pStyle w:val="TableContents"/>
              <w:bidi w:val="0"/>
              <w:spacing w:before="0" w:after="283"/>
              <w:jc w:val="right"/>
              <w:rPr>
                <w:b/>
              </w:rPr>
            </w:pPr>
            <w:r>
              <w:rPr>
                <w:b/>
              </w:rPr>
              <w:t>Shares of</w:t>
              <w:br/>
              <w:t>common</w:t>
              <w:br/>
              <w:t>stock</w:t>
              <w:br/>
              <w:t>being offered</w:t>
              <w:br/>
              <w:t>hereby</w:t>
            </w:r>
          </w:p>
        </w:tc>
        <w:tc>
          <w:tcPr>
            <w:tcW w:w="59" w:type="dxa"/>
            <w:vMerge w:val="restart"/>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992" w:type="dxa"/>
            <w:gridSpan w:val="6"/>
            <w:tcBorders>
              <w:bottom w:val="single" w:sz="8" w:space="0" w:color="000000"/>
            </w:tcBorders>
            <w:tcMar>
              <w:bottom w:w="28" w:type="dxa"/>
            </w:tcMar>
            <w:vAlign w:val="bottom"/>
          </w:tcPr>
          <w:p>
            <w:pPr>
              <w:pStyle w:val="TableContents"/>
              <w:bidi w:val="0"/>
              <w:spacing w:before="0" w:after="283"/>
              <w:jc w:val="right"/>
              <w:rPr>
                <w:b/>
              </w:rPr>
            </w:pPr>
            <w:r>
              <w:rPr>
                <w:b/>
              </w:rPr>
              <w:t>Shares of common stock beneficially</w:t>
              <w:br/>
              <w:t>owned after completion of the offering(1)</w:t>
            </w:r>
          </w:p>
        </w:tc>
        <w:tc>
          <w:tcPr>
            <w:tcW w:w="282" w:type="dxa"/>
            <w:tcBorders/>
            <w:vAlign w:val="bottom"/>
          </w:tcPr>
          <w:p>
            <w:pPr>
              <w:pStyle w:val="TableContents"/>
              <w:bidi w:val="0"/>
              <w:spacing w:before="0" w:after="283"/>
              <w:jc w:val="left"/>
              <w:rPr/>
            </w:pPr>
            <w:r>
              <w:rPr/>
              <w:t> </w:t>
            </w:r>
          </w:p>
        </w:tc>
      </w:tr>
      <w:tr>
        <w:trPr/>
        <w:tc>
          <w:tcPr>
            <w:tcW w:w="14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w:t>
              <w:br/>
              <w:t>stockholders(2)</w:t>
            </w:r>
          </w:p>
        </w:tc>
        <w:tc>
          <w:tcPr>
            <w:tcW w:w="75"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75" w:type="dxa"/>
            <w:vMerge w:val="continue"/>
            <w:tcBorders/>
            <w:vAlign w:val="bottom"/>
          </w:tcPr>
          <w:p>
            <w:pPr>
              <w:pStyle w:val="Normal"/>
              <w:bidi w:val="0"/>
              <w:jc w:val="left"/>
              <w:rPr/>
            </w:pPr>
            <w:r>
              <w:rPr/>
            </w:r>
          </w:p>
        </w:tc>
        <w:tc>
          <w:tcPr>
            <w:tcW w:w="1357" w:type="dxa"/>
            <w:gridSpan w:val="2"/>
            <w:vMerge w:val="continue"/>
            <w:tcBorders>
              <w:bottom w:val="single" w:sz="8" w:space="0" w:color="000000"/>
            </w:tcBorders>
            <w:tcMar>
              <w:bottom w:w="28" w:type="dxa"/>
            </w:tcMar>
            <w:vAlign w:val="bottom"/>
          </w:tcPr>
          <w:p>
            <w:pPr>
              <w:pStyle w:val="Normal"/>
              <w:bidi w:val="0"/>
              <w:jc w:val="left"/>
              <w:rPr/>
            </w:pPr>
            <w:r>
              <w:rPr/>
            </w:r>
          </w:p>
        </w:tc>
        <w:tc>
          <w:tcPr>
            <w:tcW w:w="59" w:type="dxa"/>
            <w:vMerge w:val="continue"/>
            <w:tcBorders/>
            <w:vAlign w:val="bottom"/>
          </w:tcPr>
          <w:p>
            <w:pPr>
              <w:pStyle w:val="Normal"/>
              <w:bidi w:val="0"/>
              <w:jc w:val="left"/>
              <w:rPr/>
            </w:pPr>
            <w:r>
              <w:rPr/>
            </w:r>
          </w:p>
        </w:tc>
        <w:tc>
          <w:tcPr>
            <w:tcW w:w="145" w:type="dxa"/>
            <w:tcBorders/>
            <w:vAlign w:val="bottom"/>
          </w:tcPr>
          <w:p>
            <w:pPr>
              <w:pStyle w:val="TableContents"/>
              <w:bidi w:val="0"/>
              <w:spacing w:before="0" w:after="283"/>
              <w:jc w:val="left"/>
              <w:rPr/>
            </w:pPr>
            <w:r>
              <w:rPr/>
              <w:t>  </w:t>
            </w:r>
          </w:p>
        </w:tc>
        <w:tc>
          <w:tcPr>
            <w:tcW w:w="2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2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2" w:type="dxa"/>
            <w:tcBorders/>
            <w:vAlign w:val="bottom"/>
          </w:tcPr>
          <w:p>
            <w:pPr>
              <w:pStyle w:val="TableContents"/>
              <w:bidi w:val="0"/>
              <w:spacing w:before="0" w:after="283"/>
              <w:jc w:val="left"/>
              <w:rPr/>
            </w:pPr>
            <w:r>
              <w:rPr/>
              <w:t> </w:t>
            </w:r>
          </w:p>
        </w:tc>
      </w:tr>
      <w:tr>
        <w:trPr/>
        <w:tc>
          <w:tcPr>
            <w:tcW w:w="1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Amberjack Capital Fund II, L.P.</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16,871,374</w:t>
            </w:r>
          </w:p>
        </w:tc>
        <w:tc>
          <w:tcPr>
            <w:tcW w:w="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24.12</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3,706,801</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36" w:type="dxa"/>
            <w:tcBorders/>
            <w:shd w:fill="CCEEFF" w:val="clear"/>
            <w:vAlign w:val="bottom"/>
          </w:tcPr>
          <w:p>
            <w:pPr>
              <w:pStyle w:val="TableContents"/>
              <w:bidi w:val="0"/>
              <w:spacing w:before="0" w:after="283"/>
              <w:jc w:val="right"/>
              <w:rPr/>
            </w:pPr>
            <w:r>
              <w:rPr/>
              <w:t>13,164,573</w:t>
            </w:r>
          </w:p>
        </w:tc>
        <w:tc>
          <w:tcPr>
            <w:tcW w:w="12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18.82</w:t>
            </w:r>
          </w:p>
        </w:tc>
        <w:tc>
          <w:tcPr>
            <w:tcW w:w="282" w:type="dxa"/>
            <w:tcBorders/>
            <w:shd w:fill="CCEEFF" w:val="clear"/>
            <w:vAlign w:val="bottom"/>
          </w:tcPr>
          <w:p>
            <w:pPr>
              <w:pStyle w:val="TableContents"/>
              <w:bidi w:val="0"/>
              <w:spacing w:before="0" w:after="283"/>
              <w:jc w:val="left"/>
              <w:rPr/>
            </w:pPr>
            <w:r>
              <w:rPr/>
              <w:t>% </w:t>
            </w:r>
          </w:p>
        </w:tc>
      </w:tr>
      <w:tr>
        <w:trPr/>
        <w:tc>
          <w:tcPr>
            <w:tcW w:w="1433" w:type="dxa"/>
            <w:tcBorders/>
          </w:tcPr>
          <w:p>
            <w:pPr>
              <w:pStyle w:val="TableContents"/>
              <w:bidi w:val="0"/>
              <w:spacing w:before="0" w:after="0"/>
              <w:jc w:val="left"/>
              <w:rPr>
                <w:rFonts w:ascii="Times New Roman" w:hAnsi="Times New Roman"/>
                <w:sz w:val="20"/>
              </w:rPr>
            </w:pPr>
            <w:r>
              <w:rPr>
                <w:rFonts w:ascii="Times New Roman" w:hAnsi="Times New Roman"/>
                <w:sz w:val="20"/>
              </w:rPr>
              <w:t>Innovex Co-Invest Fund II, L.P.</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3,939,330</w:t>
            </w:r>
          </w:p>
        </w:tc>
        <w:tc>
          <w:tcPr>
            <w:tcW w:w="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5.63</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865,508</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36" w:type="dxa"/>
            <w:tcBorders/>
            <w:vAlign w:val="bottom"/>
          </w:tcPr>
          <w:p>
            <w:pPr>
              <w:pStyle w:val="TableContents"/>
              <w:bidi w:val="0"/>
              <w:spacing w:before="0" w:after="283"/>
              <w:jc w:val="right"/>
              <w:rPr/>
            </w:pPr>
            <w:r>
              <w:rPr/>
              <w:t>3,073,822</w:t>
            </w:r>
          </w:p>
        </w:tc>
        <w:tc>
          <w:tcPr>
            <w:tcW w:w="12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4.40</w:t>
            </w:r>
          </w:p>
        </w:tc>
        <w:tc>
          <w:tcPr>
            <w:tcW w:w="282" w:type="dxa"/>
            <w:tcBorders/>
            <w:vAlign w:val="bottom"/>
          </w:tcPr>
          <w:p>
            <w:pPr>
              <w:pStyle w:val="TableContents"/>
              <w:bidi w:val="0"/>
              <w:spacing w:before="0" w:after="283"/>
              <w:jc w:val="left"/>
              <w:rPr/>
            </w:pPr>
            <w:r>
              <w:rPr/>
              <w:t>% </w:t>
            </w:r>
          </w:p>
        </w:tc>
      </w:tr>
      <w:tr>
        <w:trPr/>
        <w:tc>
          <w:tcPr>
            <w:tcW w:w="1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Innovex Co-Invest Fund, L.P.</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933,624</w:t>
            </w:r>
          </w:p>
        </w:tc>
        <w:tc>
          <w:tcPr>
            <w:tcW w:w="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1.33</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205,126</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36" w:type="dxa"/>
            <w:tcBorders/>
            <w:shd w:fill="CCEEFF" w:val="clear"/>
            <w:vAlign w:val="bottom"/>
          </w:tcPr>
          <w:p>
            <w:pPr>
              <w:pStyle w:val="TableContents"/>
              <w:bidi w:val="0"/>
              <w:spacing w:before="0" w:after="283"/>
              <w:jc w:val="right"/>
              <w:rPr/>
            </w:pPr>
            <w:r>
              <w:rPr/>
              <w:t>728,498</w:t>
            </w:r>
          </w:p>
        </w:tc>
        <w:tc>
          <w:tcPr>
            <w:tcW w:w="12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1.04</w:t>
            </w:r>
          </w:p>
        </w:tc>
        <w:tc>
          <w:tcPr>
            <w:tcW w:w="282" w:type="dxa"/>
            <w:tcBorders/>
            <w:shd w:fill="CCEEFF" w:val="clear"/>
            <w:vAlign w:val="bottom"/>
          </w:tcPr>
          <w:p>
            <w:pPr>
              <w:pStyle w:val="TableContents"/>
              <w:bidi w:val="0"/>
              <w:spacing w:before="0" w:after="283"/>
              <w:jc w:val="left"/>
              <w:rPr/>
            </w:pPr>
            <w:r>
              <w:rPr/>
              <w:t>% </w:t>
            </w:r>
          </w:p>
        </w:tc>
      </w:tr>
      <w:tr>
        <w:trPr/>
        <w:tc>
          <w:tcPr>
            <w:tcW w:w="1433" w:type="dxa"/>
            <w:tcBorders/>
          </w:tcPr>
          <w:p>
            <w:pPr>
              <w:pStyle w:val="TableContents"/>
              <w:bidi w:val="0"/>
              <w:spacing w:before="0" w:after="0"/>
              <w:jc w:val="left"/>
              <w:rPr>
                <w:rFonts w:ascii="Times New Roman" w:hAnsi="Times New Roman"/>
                <w:sz w:val="20"/>
              </w:rPr>
            </w:pPr>
            <w:r>
              <w:rPr>
                <w:rFonts w:ascii="Times New Roman" w:hAnsi="Times New Roman"/>
                <w:sz w:val="20"/>
              </w:rPr>
              <w:t>Intervale Capital Fund II, L.P.</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805,355</w:t>
            </w:r>
          </w:p>
        </w:tc>
        <w:tc>
          <w:tcPr>
            <w:tcW w:w="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1.15</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176,944</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36" w:type="dxa"/>
            <w:tcBorders/>
            <w:vAlign w:val="bottom"/>
          </w:tcPr>
          <w:p>
            <w:pPr>
              <w:pStyle w:val="TableContents"/>
              <w:bidi w:val="0"/>
              <w:spacing w:before="0" w:after="283"/>
              <w:jc w:val="right"/>
              <w:rPr/>
            </w:pPr>
            <w:r>
              <w:rPr/>
              <w:t>628,411</w:t>
            </w:r>
          </w:p>
        </w:tc>
        <w:tc>
          <w:tcPr>
            <w:tcW w:w="12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0.90</w:t>
            </w:r>
          </w:p>
        </w:tc>
        <w:tc>
          <w:tcPr>
            <w:tcW w:w="282" w:type="dxa"/>
            <w:tcBorders/>
            <w:vAlign w:val="bottom"/>
          </w:tcPr>
          <w:p>
            <w:pPr>
              <w:pStyle w:val="TableContents"/>
              <w:bidi w:val="0"/>
              <w:spacing w:before="0" w:after="283"/>
              <w:jc w:val="left"/>
              <w:rPr/>
            </w:pPr>
            <w:r>
              <w:rPr/>
              <w:t>% </w:t>
            </w:r>
          </w:p>
        </w:tc>
      </w:tr>
      <w:tr>
        <w:trPr/>
        <w:tc>
          <w:tcPr>
            <w:tcW w:w="1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Intervale Capital Fund II-A, L.P.</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399</w:t>
            </w:r>
          </w:p>
        </w:tc>
        <w:tc>
          <w:tcPr>
            <w:tcW w:w="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0.00</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88</w:t>
            </w:r>
          </w:p>
        </w:tc>
        <w:tc>
          <w:tcPr>
            <w:tcW w:w="5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36" w:type="dxa"/>
            <w:tcBorders/>
            <w:shd w:fill="CCEEFF" w:val="clear"/>
            <w:vAlign w:val="bottom"/>
          </w:tcPr>
          <w:p>
            <w:pPr>
              <w:pStyle w:val="TableContents"/>
              <w:bidi w:val="0"/>
              <w:spacing w:before="0" w:after="283"/>
              <w:jc w:val="right"/>
              <w:rPr/>
            </w:pPr>
            <w:r>
              <w:rPr/>
              <w:t>311</w:t>
            </w:r>
          </w:p>
        </w:tc>
        <w:tc>
          <w:tcPr>
            <w:tcW w:w="12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0.00</w:t>
            </w:r>
          </w:p>
        </w:tc>
        <w:tc>
          <w:tcPr>
            <w:tcW w:w="282" w:type="dxa"/>
            <w:tcBorders/>
            <w:shd w:fill="CCEEFF" w:val="clear"/>
            <w:vAlign w:val="bottom"/>
          </w:tcPr>
          <w:p>
            <w:pPr>
              <w:pStyle w:val="TableContents"/>
              <w:bidi w:val="0"/>
              <w:spacing w:before="0" w:after="283"/>
              <w:jc w:val="left"/>
              <w:rPr/>
            </w:pPr>
            <w:r>
              <w:rPr/>
              <w:t>% </w:t>
            </w:r>
          </w:p>
        </w:tc>
      </w:tr>
      <w:tr>
        <w:trPr/>
        <w:tc>
          <w:tcPr>
            <w:tcW w:w="1433" w:type="dxa"/>
            <w:tcBorders/>
          </w:tcPr>
          <w:p>
            <w:pPr>
              <w:pStyle w:val="TableContents"/>
              <w:bidi w:val="0"/>
              <w:spacing w:before="0" w:after="0"/>
              <w:jc w:val="left"/>
              <w:rPr>
                <w:rFonts w:ascii="Times New Roman" w:hAnsi="Times New Roman"/>
                <w:sz w:val="20"/>
              </w:rPr>
            </w:pPr>
            <w:r>
              <w:rPr>
                <w:rFonts w:ascii="Times New Roman" w:hAnsi="Times New Roman"/>
                <w:sz w:val="20"/>
              </w:rPr>
              <w:t>Intervale Capital Fund III, L.P.</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207,240</w:t>
            </w:r>
          </w:p>
        </w:tc>
        <w:tc>
          <w:tcPr>
            <w:tcW w:w="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0.30</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45,533</w:t>
            </w:r>
          </w:p>
        </w:tc>
        <w:tc>
          <w:tcPr>
            <w:tcW w:w="5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36" w:type="dxa"/>
            <w:tcBorders/>
            <w:vAlign w:val="bottom"/>
          </w:tcPr>
          <w:p>
            <w:pPr>
              <w:pStyle w:val="TableContents"/>
              <w:bidi w:val="0"/>
              <w:spacing w:before="0" w:after="283"/>
              <w:jc w:val="right"/>
              <w:rPr/>
            </w:pPr>
            <w:r>
              <w:rPr/>
              <w:t>161,707</w:t>
            </w:r>
          </w:p>
        </w:tc>
        <w:tc>
          <w:tcPr>
            <w:tcW w:w="12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0.23</w:t>
            </w:r>
          </w:p>
        </w:tc>
        <w:tc>
          <w:tcPr>
            <w:tcW w:w="282"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pursuant to which a person is deemed to be a “beneficial owner” of a security if that person has or shares voting power, which includes the power to vote or direct the voting of such security, or investment power, which includes the power to dispose of or to direct the disposition of such security. Under these rules, more than one person may be deemed a beneficial owner of the same securities, and a person may be deemed a beneficial owner of securities as to which such person has no economic interest.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Funds affiliated with Amberjack Capital Partners, L.P. (“</w:t>
            </w:r>
            <w:r>
              <w:rPr>
                <w:rFonts w:ascii="Times New Roman" w:hAnsi="Times New Roman"/>
                <w:b/>
                <w:sz w:val="20"/>
              </w:rPr>
              <w:t>Amberjack Capital Partners</w:t>
            </w:r>
            <w:r>
              <w:rPr>
                <w:rFonts w:ascii="Times New Roman" w:hAnsi="Times New Roman"/>
                <w:sz w:val="20"/>
              </w:rPr>
              <w:t>” or “</w:t>
            </w:r>
            <w:r>
              <w:rPr>
                <w:rFonts w:ascii="Times New Roman" w:hAnsi="Times New Roman"/>
                <w:b/>
                <w:sz w:val="20"/>
              </w:rPr>
              <w:t>Amberjack</w:t>
            </w:r>
            <w:r>
              <w:rPr>
                <w:rFonts w:ascii="Times New Roman" w:hAnsi="Times New Roman"/>
                <w:sz w:val="20"/>
              </w:rPr>
              <w:t>”) are our principal stockholders (referred to in this prospectus as the “</w:t>
            </w:r>
            <w:r>
              <w:rPr>
                <w:rFonts w:ascii="Times New Roman" w:hAnsi="Times New Roman"/>
                <w:b/>
                <w:sz w:val="20"/>
              </w:rPr>
              <w:t>Amberjack Funds</w:t>
            </w:r>
            <w:r>
              <w:rPr>
                <w:rFonts w:ascii="Times New Roman" w:hAnsi="Times New Roman"/>
                <w:sz w:val="20"/>
              </w:rPr>
              <w:t>”). The general partner of (i) Amberjack Capital Fund II, L.P. is Amberjack Capital GP II, L.P., and the general partner of such general partner is Amberjack Capital Associates II, LLC, (ii) Innovex Co-Invest Fund II, L.P. is Innovex Co-Invest Fund II GP, L.P., and the general partner of such general partner is Innovex Co-Invest Associates, LLC, (iii) Innovex Co-Invest Fund, L.P. is Innovex Co-Invest Fund GP, L.P., and the general partner of such general partner is Innovex Co-Invest Associates, LLC, (iv) Intervale Capital Fund II, L.P. is Intervale Capital GP II, L.P., and the general partner of such general partner is Intervale Capital Associates II, LLC, (v) Intervale Capital Fund II-A, L.P. is Intervale Capital GP II, L.P., and the general partner of such general partner is Intervale Capital Associates II, LLC, and (vi) Intervale Capital Fund III, L.P. is Intervale Capital GP III, L.P., and the general partner of such general partner is Intervale Capital Associates III, LLC. By virtue of their relationships, the foregoing general partners control all voting and dispositive power over the reported shares held by such Amberjack Fund and therefore may be deemed to be the beneficial owner of such shares. The member of Amberjack Capital Associates II, LLC, Innovex Co-Invest Associates, LLC, Intervale Capital Associates II, LLC and Intervale Capital Associates III, LLC is Jason Turowsky. Amberjack Capital Partners is the investment advisor of the Amberjack Funds and the general partner of Amberjack Capital Partners is Amberjack Management, LLC (“</w:t>
            </w:r>
            <w:r>
              <w:rPr>
                <w:rFonts w:ascii="Times New Roman" w:hAnsi="Times New Roman"/>
                <w:b/>
                <w:sz w:val="20"/>
              </w:rPr>
              <w:t>Amberjack Management</w:t>
            </w:r>
            <w:r>
              <w:rPr>
                <w:rFonts w:ascii="Times New Roman" w:hAnsi="Times New Roman"/>
                <w:sz w:val="20"/>
              </w:rPr>
              <w:t xml:space="preserve">”). In its role as investment advisor, Amberjack Capital Partners controls all voting and dispositive power over the reported shares held by all the Amberjack Funds and therefore may be deemed to be the beneficial owner of such shares. The address of the Amberjack Funds, Amberjack Capital Partners, Amberjack Management and the other general partners identified above is 4400 Post Oak Parkway, Suite 2760, Houston, Texas 77027. Mr. Turowsky is managing partner of Amberjack Management. The address of Mr. Turowsky is 4400 Post Oak Parkway, Suite 2760, Houston, Texas 77027. Mr. Turowsky disclaims beneficial ownership of such securities in excess of his pecuniary interests in the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MATERIAL RELATIONSHIPS WITH THE SELLING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6, 2024, we entered into the Stockholders’ Agreement with Amberjack and the selling stockholders. The Stockholders’ Agreement provides,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Amberjack has the right, but not the obligation, to designate for nomination by the Company to the Board a number of designees (the “</w:t>
            </w:r>
            <w:r>
              <w:rPr>
                <w:rFonts w:ascii="Times New Roman" w:hAnsi="Times New Roman"/>
                <w:b/>
                <w:sz w:val="20"/>
              </w:rPr>
              <w:t>Amberjack Designees</w:t>
            </w:r>
            <w:r>
              <w:rPr>
                <w:rFonts w:ascii="Times New Roman" w:hAnsi="Times New Roman"/>
                <w:sz w:val="20"/>
              </w:rPr>
              <w:t>”) equal to: (i) four directors, so long as the Stockholders (as defined in the Stockholders’ Agreement) collectively beneficially own 40% or more of the number of shares of common stock outstanding as of the effective time of the Merger (the “</w:t>
            </w:r>
            <w:r>
              <w:rPr>
                <w:rFonts w:ascii="Times New Roman" w:hAnsi="Times New Roman"/>
                <w:b/>
                <w:sz w:val="20"/>
              </w:rPr>
              <w:t>Effective Time</w:t>
            </w:r>
            <w:r>
              <w:rPr>
                <w:rFonts w:ascii="Times New Roman" w:hAnsi="Times New Roman"/>
                <w:sz w:val="20"/>
              </w:rPr>
              <w:t xml:space="preserve">”); (ii) three directors, in the event that the Stockholders collectively beneficially own less than 40% but at least 30% of the number of shares of common stock outstanding as of the Effective Time; (iii) two directors in the event that the Stockholders collectively beneficially own less than 30% but at least 20% of the number of shares of common stock outstanding as of the Effective Time; and (iv) one director in the event that the Stockholders collectively beneficially own less than 20% but at least 10% of the number of shares of common stock outstanding as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Amberjack maintains the right to nominate three or more directors, at least one such designee must be independent and at least two must not be employees or affiliates of Amberjack. All nomination rights terminate permanently if the Stockholders’ collective beneficial ownership falls below 10% of the Company’s outstanding at the Effective Time (giving effect to the Merger issuance), with all current Amberjack designees included in the calculation of these nomination thresholds regardless of their specific election cycle;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Amberjack has the right to designate at least one Amberjack Designee to the Board, we have agreed to take all necessary action, and, if applicable, the Stockholders have agreed to vote their respective shares, to cause the election of the person who is then serving as the Chief Executive Officer of the Company and each Amberjack Designee to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will be divided into three classes of directors, with each class serving staggered three-year terms in accordance with our certificate of incorporation and, unless otherwise requested by Amberjack, each Amberjack Designee, if any, will be assigned (or continue to be assigned) to the classes specified in the merger agreement for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during the period from and after the closing date of the Merger until the date that Amberjack ceases to have the right to nominate any designees to the Board pursuant to the Stockholders’ Agreement (the “</w:t>
            </w:r>
            <w:r>
              <w:rPr>
                <w:rFonts w:ascii="Times New Roman" w:hAnsi="Times New Roman"/>
                <w:b/>
                <w:sz w:val="20"/>
              </w:rPr>
              <w:t>Standstill Period</w:t>
            </w:r>
            <w:r>
              <w:rPr>
                <w:rFonts w:ascii="Times New Roman" w:hAnsi="Times New Roman"/>
                <w:sz w:val="20"/>
              </w:rPr>
              <w:t xml:space="preserve">”) and subject to certain exceptions, Amberjack will have the right to request that a representative of Amberjack attend meetings of the Board (and any committee of which an Amberjack Designee is a member, to the extent consistent with applicable law)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end of the Standstill Period and subject to certain exceptions, the Company will provide Amberjack or its authorized representatives, at reasonable times and upon reasonable prior notice to the Company, with (i) reasonable access to the books and records of the Company or any of its material subsidiaries and (ii) the right to discuss the Company’s or its material subsidiaries’ affairs, finances and condition with its and their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the fullest extent permitted by the DGCL and subject to applicable legal requirements and any express agreement, the Company has agreed that the selling stockholders and their respective affiliates and each Amberjack Designee that is also a director, officer, employee or other representative of Amberjack (collectively, the “</w:t>
            </w:r>
            <w:r>
              <w:rPr>
                <w:rFonts w:ascii="Times New Roman" w:hAnsi="Times New Roman"/>
                <w:b/>
                <w:sz w:val="20"/>
              </w:rPr>
              <w:t>Covered Persons</w:t>
            </w:r>
            <w:r>
              <w:rPr>
                <w:rFonts w:ascii="Times New Roman" w:hAnsi="Times New Roman"/>
                <w:sz w:val="20"/>
              </w:rPr>
              <w:t xml:space="preserve">”) may, and shall have no duty not to, (i) invest in, carry on and conduct any business of any kind, nature or description, whether or not such business is competitive with or in the same or similar lines of business as the Company or any of its subsidiaries, (ii) do business with any client, customer, vendor or lessor of any of the Company or its affiliates, and/or (iii) make investments in any kind of property in which the Company or its subsidiaries may make investments. To the fullest extent permitted by the DGCL or any other applicable law,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renounces any interest or expectancy to participate in any business, business opportunity, transaction, investment or other matter of any Covered Person as currently conducted or as may be conducted in the future, and waives any claim against a Covered Person and shall indemnify a Covered Person against any claim that such Covered Person is liable to the Company or its stockholders for breach of any fiduciary duty or otherwise solely by reason of such Covered Person’s participation in, or failure to offer or communicate to the Company, its subsidiaries or any controlled affiliates any information regarding, any such business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Standstill Period and subject to certain exceptions, the Stockholders and each of their respective affiliates will be subject to certain restrictions relating to (i) the acquisition of additional shares of our common stock, (ii) the solicitation of proxies with respect to voting of any Voting Securities (as defined in the Stockholders’ Agreement), (iii) the deposit of any Voting Securities into a voting trust or subjecting such Voting Securities to any voting agreement, pooling arrangement or similar arrangement, or the grant of any proxy with respect to such Voting Securities, (iv) actions to change management of the Company or the Board other than pursuant to the provisions of the Stockholders’ Agreement, (v) actions regarding any merger, consolidation, business combination, tender or exchange offer, restructuring, recapitalization or other extraordinary transaction of or involving the Company or any of its subsidiaries or their securities or assets, or (vi) actions that would reasonably be expected to cause or require the Company to make a public announcement regarding any actions prohibited by the Stockholders’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Standstill Period, the Stockholders will cause all Voting Securities then owned by the Stockholders to be present, in person or by proxy, at any meeting of the stockholders of the Company occurring at which an election of directors is to be held, so that all such Voting Securities will be counted for the purpose of determining the presence of a quorum at such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we entered into the Registration Rights Agreement with the selling stockholders. The Registration Rights Agreement generally obligates us to cooperate with the selling stockholders in effecting the disposition of their shares of our common stock by such methods as the selling stockholders may request, including through underwritten offerings and block trades.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includes provisions, subject to certain exceptions, that if at any time we propose to register an offering of our common stock or conduct an underwritten offering, whether or not for our own account, then we would be required to notify the selling stockholders and allow them to include a specified number of their shares of our common stock in that registration statement or underwritten offering,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These registration rights are subject to certain conditions and limitations, and we will generally be obligated to pay all registration expenses in connection with these registration obligations, regardless of whether or not any registrable securities are sold pursuant to a registration statement. The Registration Rights Agreement will also require us to indemnify each of the selling stockholders against certain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32791_9"/>
      <w:bookmarkEnd w:id="11"/>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The following is a summary of certain material U.S. federal income tax considerations related to the acquisition, ownership and disposition of common stock acquired pursuant to this offering by a non-U.S. holder (as defined below). This summary does not purport to be a complete analysis of all potential tax considerations related thereto. This summary is limited to non-U.S. holders who hold shares of common stock as capital assets within the meaning of Section 1221 of the Internal Revenue Code of 1986, as amended (the “</w:t>
      </w:r>
      <w:r>
        <w:rPr>
          <w:rFonts w:ascii="Times New Roman" w:hAnsi="Times New Roman"/>
          <w:b/>
          <w:sz w:val="20"/>
        </w:rPr>
        <w:t>Code</w:t>
      </w:r>
      <w:r>
        <w:rPr>
          <w:rFonts w:ascii="Times New Roman" w:hAnsi="Times New Roman"/>
          <w:sz w:val="20"/>
        </w:rPr>
        <w:t xml:space="preserve">”) (generally, for investment purposes). </w:t>
      </w:r>
    </w:p>
    <w:p>
      <w:pPr>
        <w:pStyle w:val="TextBody"/>
        <w:bidi w:val="0"/>
        <w:spacing w:before="240" w:after="0"/>
        <w:jc w:val="left"/>
        <w:rPr>
          <w:rFonts w:ascii="Times New Roman" w:hAnsi="Times New Roman"/>
          <w:sz w:val="20"/>
        </w:rPr>
      </w:pPr>
      <w:r>
        <w:rPr>
          <w:rFonts w:ascii="Times New Roman" w:hAnsi="Times New Roman"/>
          <w:sz w:val="20"/>
        </w:rPr>
        <w:t>This summary is based on the current provisions of the Code, final, temporary and proposed U.S. Treasury regulations promulgated thereunder, administrative rulings and pronouncements and judicial decisions and published positions of the Internal Revenue Service (the “</w:t>
      </w:r>
      <w:r>
        <w:rPr>
          <w:rFonts w:ascii="Times New Roman" w:hAnsi="Times New Roman"/>
          <w:b/>
          <w:sz w:val="20"/>
        </w:rPr>
        <w:t>IRS</w:t>
      </w:r>
      <w:r>
        <w:rPr>
          <w:rFonts w:ascii="Times New Roman" w:hAnsi="Times New Roman"/>
          <w:sz w:val="20"/>
        </w:rPr>
        <w:t xml:space="preserve">”), all as in effect on the date hereof, and all of which are subject to change or differing interpretations, possibly with retroactive effect, so as to result in U.S. federal income tax consequences different than those set forth below. We have not sought and will not seek any ruling from the IRS with respect to the statements made and the conclusions reached in the following summary, and there can be no assurance that the IRS or a court will agree with such statements and conclusions or that a court would not sustain any challenge by the IRS in the event of litigation.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all aspects of U.S. federal income taxation that may be relevant to non-U.S. holders in light of their particular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direct, indirect or constructive owner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defined in Section 897(l)(2) of the Code (or any entities all of the interests of which are held by a qualified foreign pension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use the mark-to-market method of accounting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S corporations or other pass-through entities for U.S. federal income tax purposes or holders of interests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common stock through the exercise of employee stock options or otherwise as compensation or through a tax-qualified retirement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common stock as part of a straddle, appreciated financial position, synthetic security, hedge, conversion transaction, wash sale or other integrated investment or risk reduction transaction.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 PURPOSES ONLY AND IS NOT INTENDED AS TAX ADVICE. PROSPECTIVE INVESTORS ARE URGED TO CONSULT THEIR TAX ADVISORS WITH RESPECT TO THE APPLICATION OF THE U.S. FEDERAL INCOME TAX LAWS TO THEIR PARTICULAR SITUATION, AS WELL AS ANY TAX CONSIDERATIONS RELATING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ACQUISITION, OWNERSHIP AND DISPOSITION OF COMMON STOCK ARISING UNDER THE U.S. FEDERAL ESTATE OR GIFT TAX LAWS OR UNDER THE LAWS OF ANY STATE, LOCAL, NON-U.S. OR OTHER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 Defined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common stock that is not, for U.S. federal income tax purposes, a partnership (or an investor therein) or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which has one or more United States persons (within the meaning of Section 7701(a)(30) of the Code) who have the authority to control all substantial decisions of the trust or (ii) which has made a valid election under applicable U.S.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common stock, the tax treatment of a partner in the partnership generally will depend upon the status of the partner, upon the activities of the partnership and the partner, and upon certain determinations made at the partner level. Accordingly, we urge partnerships and partners in partnerships (including entities or arrangements treated as partnerships for U.S. federal income tax purposes) considering investing in our common stock to consult their tax advisors regarding the U.S. federal income tax considerations relating to the acquisition, ownership and disposition of common stock by such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If we make cash or other property distributions on the common stock, other than certain pro rata distributions of common stock,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which will reduce the non-U.S. holder’s tax basis in the common stock until such basis equals zero, and thereafter as capital gain from the sale or exchange of such common stock. See “-Gain on Disposition of Common Stock.” Subject to the withholding requirements applicable under FATCA (as defined below) and with respect to effectively connected dividends, each of which is discussed below, any dividends paid to a non-U.S. holder on the common stock generally will be subject to U.S. federal withholding tax at a rate of 30% of the gross amount of the dividend unless an applicable income tax treaty provides for a lower rate. To receive the benefit of a reduced treaty rate, a non-U.S. holder must generally provide the applicable withholding agent with a properly completed and executed IRS Form W-8BEN, IRS Form W-8BEN-E or other applicable or successor form certifying qualification for the reduced rate. Even if our current or accumulated earnings and profits are less than the amount of the distribution, the applicable withholding agent may elect to treat the entire distribution as a dividend for U.S. federal withholding purposes. A non-U.S. holder that does not timely furnish the required documentation, but that qualifies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defined under the Code). Such effectively connected dividends will not be subject to U.S. federal withholding tax if the non-U.S. holder satisfies certain certification requirements by providing the applicable withholding agent with a properly completed and executed IRS Form W-8ECI (or other applicable or successor form) certifying eligibility for exemption. If the non-U.S. holder is treated as a corporation for U.S. federal income tax purposes, it may also be subject to a branch profits tax at a 30% rate (or such lower rate as may be specified by an applicable income tax treaty) on its effectively connected earnings and profits (as adjusted for certain items), which will include effectively connected dividends.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withholding rules applicable to distributions on our common stock, their entitlement to benefits under an applicable income tax treaty and the manner of claiming the benefits of such treaty.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“-Backup Withholding and Information Reporting” and “-Additional Withholding Requirements Under FATCA,” a non-U.S. holder generally will not be subject to U.S. federal income or withholding tax on any gain realized upon the sale or other taxable disposition of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has been present in the United States for 183 days or more during the calendar year in which the sale or disposition occurs and certain other conditions are met;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conducted by the non-U.S. holder in the United States (and, if required by an applicable income tax treaty, is attributable to a permanent establishment maintained by the non-U.S. holder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common stock constitutes a United States real property interest by reason of our status as a United States real property holding corporation (a “</w:t>
            </w:r>
            <w:r>
              <w:rPr>
                <w:rFonts w:ascii="Times New Roman" w:hAnsi="Times New Roman"/>
                <w:b/>
                <w:sz w:val="20"/>
              </w:rPr>
              <w:t>USRPHC</w:t>
            </w:r>
            <w:r>
              <w:rPr>
                <w:rFonts w:ascii="Times New Roman" w:hAnsi="Times New Roman"/>
                <w:sz w:val="20"/>
              </w:rPr>
              <w:t xml:space="preserve">”)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above will be subject to U.S. federal income tax at a rate of 30% (or such lower rate as specified by an applicable income tax treaty) on the amount of such gain, which generally may be offset by U.S. source capital losses.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such non-U.S. holder is treated as a corporation for U.S. federal income tax purposes, it may also be subject to a branch profits tax (at a 30% rate or such lower rate as may be specified by an applicable income tax treaty) on its effectively connected earnings and profits (as adjusted for certain items), which will include any effectively connected gain described in the second bullet point above. </w:t>
      </w:r>
    </w:p>
    <w:p>
      <w:pPr>
        <w:pStyle w:val="TextBody"/>
        <w:bidi w:val="0"/>
        <w:spacing w:before="240" w:after="0"/>
        <w:jc w:val="left"/>
        <w:rPr>
          <w:rFonts w:ascii="Times New Roman" w:hAnsi="Times New Roman"/>
          <w:sz w:val="20"/>
        </w:rPr>
      </w:pPr>
      <w:r>
        <w:rPr>
          <w:rFonts w:ascii="Times New Roman" w:hAnsi="Times New Roman"/>
          <w:sz w:val="20"/>
        </w:rPr>
        <w:t xml:space="preserve">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and, although there can be no assurances to this regard, we do not expect to become a USRPHC for the foreseeable future. However, in the event that we become a USRPHC, as long as our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were to become a USRPHC and our common stock were not considered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regularly traded on an established securities market, a non-U.S.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 (and to any distributions treated as a non-taxable return of capital or capital gain from the sale or exchange of such common stock as described above under “—Distributions”). Non-U.S. holders should consult their tax advisors with respect to the application of the foregoing rules to their ownership and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Non-U.S. holders, including any non-U.S. holder that actually or constructively owns, or owned at any time during the shorter of the five-year period ending on the date of the disposition or the non-U.S. holder’s holding period for the common stock, more than 5% of the common stock, should consult their tax advisors regarding the application of these rules to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must report annually to the IRS and to each non-U.S. holder the amount of distributions paid to such holder, the name and address of the recipient, and the amount, if any, of tax withheld with respect to those distributions. These information reporting requirements apply even if withholding was not required. Copies of these information returns may also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IRS Form W-8BEN-E or other applicable or successor form, provided that the withholding agent does not have actual knowledge or reason to know, that the beneficial owner is a United States person that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proceeds from a sale or other disposition by a non-U.S. holder of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common stock effected outside the United States by such a broker if it has certain relationships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under 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the U.S. Treasury regulations and administrative guidance issued thereunder (FATCA), impose a 30% withholding tax on any dividends paid on the common stock and (subject to the proposed U.S. Treasury regulations discussed below) on the gross proceeds from a sale or other disposition of common stock,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on a properly completed and executed IRS Form W-8BEN-E or successor form, as applicable), or (iii) the foreign financial institution or non-financial foreign entity otherwise qualifies for an exemption from these rules and provides appropriate documentation (such as a properly completed and executed IRS Form W-8BEN-E or successor form, as applicable). Foreign financial institutions located in jurisdictions that have an intergovernmental agreement with the United States governing these rules may be subject to different rules. Under certain circumstances, a holder might be eligible for refunds or credits of such taxes. 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 Non-U.S. holders are encouraged to consult their tax advisors regarding the effects of FATCA on their investment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COMMON STOCK ARE URGED TO CONSULT THEIR TAX ADVISORS REGARDING THE APPLICATION OF THE U.S. FEDERAL INCOME TAX LAWS TO THEIR PARTICULAR SITUATIONS AND THE APPLICABILITY AND EFFECT OF U.S. FEDERAL ESTATE AND GIFT TAX LAWS AND ANY STATE, LOCAL OR NON-U.S. TAX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32791_10"/>
      <w:bookmarkEnd w:id="12"/>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The following is a summary of certain considerations associated with the acquisition and holding of shares of common stock by employee benefit plans that are subject to Title I of the Employee Retirement Income Security Act of 1974, as amended (“</w:t>
      </w:r>
      <w:r>
        <w:rPr>
          <w:rFonts w:ascii="Times New Roman" w:hAnsi="Times New Roman"/>
          <w:b/>
          <w:sz w:val="20"/>
        </w:rPr>
        <w:t>ERISA</w:t>
      </w:r>
      <w:r>
        <w:rPr>
          <w:rFonts w:ascii="Times New Roman" w:hAnsi="Times New Roman"/>
          <w:sz w:val="20"/>
        </w:rPr>
        <w:t>”), plans, individual retirement accounts and other arrangements that are subject to Section 4975 of the Code or employee benefit plans that are governmental plans (as defined in Section 3(32) of ERISA), certain church plans (as defined in Section 3(33) of ERISA), non-United States plans (as described in Section 4(b)(4) of ERISA) or other plans that are not subject to the foregoing but may be subject to provisions under any other federal, state, local, non-United States or other laws or regulations that are similar to such provisions of ERISA or the Code (collectively, “</w:t>
      </w:r>
      <w:r>
        <w:rPr>
          <w:rFonts w:ascii="Times New Roman" w:hAnsi="Times New Roman"/>
          <w:b/>
          <w:sz w:val="20"/>
        </w:rPr>
        <w:t>Similar Laws</w:t>
      </w:r>
      <w:r>
        <w:rPr>
          <w:rFonts w:ascii="Times New Roman" w:hAnsi="Times New Roman"/>
          <w:sz w:val="20"/>
        </w:rPr>
        <w:t>”), and entities whose underlying assets are considered to include “plan assets” of any such plan, account or arrangement (each, a “</w:t>
      </w:r>
      <w:r>
        <w:rPr>
          <w:rFonts w:ascii="Times New Roman" w:hAnsi="Times New Roman"/>
          <w:b/>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provisions of ERISA and the Code (and related regulations and administrative and judicial interpretations) as of the date of this registration statement.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ERISA and the Code impose certain duties on persons who are fiduciaries of a Plan subject to Title I of ERISA or Section 4975 of the Code (an “</w:t>
      </w:r>
      <w:r>
        <w:rPr>
          <w:rFonts w:ascii="Times New Roman" w:hAnsi="Times New Roman"/>
          <w:b/>
          <w:sz w:val="20"/>
        </w:rPr>
        <w:t>ERISA Plan</w:t>
      </w:r>
      <w:r>
        <w:rPr>
          <w:rFonts w:ascii="Times New Roman" w:hAnsi="Times New Roman"/>
          <w:sz w:val="20"/>
        </w:rPr>
        <w:t xml:space="preserve">”)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shares of common stock with a portion of the assets of any Plan, a fiduciary should consider the Plan’s particular circumstances and all of the facts and circumstances of the investment and determine whether the acquisition and holding of shares of common stock is in accordance with the documents and instruments governing the Plan and the applicable provisions of ERISA, the Code, or any Similar Law relating to the fiduciary’s duties to the Plan,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investment is prudent under Section 404(a)(1)(B) of ERISA and any other applicable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 making the investment, the ERISA Plan will satisfy the diversification requirements of Section 404(a)(1)(C) of ERISA and any other applicable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investment is permitted under the terms of the applicable documents governing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acquisition or holding of the shares of common stock will constitute a “prohibited transaction” under Section 406 of ERISA or Section 4975 of the Code (please see discussion under “—Prohibited Transaction Issues”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Plan will be considered to hold, as plan assets, (i) only shares of common stock or (ii) an undivided interest in our underlying assets (please see the discussion under “—Plan Asset Issues” below).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ERISA Plans from engaging in specified transactions involving plan assets with persons or entities who are “parties in interest,” within the meaning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shares of common stock by an ERISA Plan with respect to which the issuer or an underwriter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shares of common stock should not be acquired or held by any person investing “plan assets” of any Plan unless such acquisition and holding will not constitute a non-exempt prohibited transaction under ERISA and the Code or a similar violation of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Plan Asset Issues </w:t>
      </w:r>
    </w:p>
    <w:p>
      <w:pPr>
        <w:pStyle w:val="TextBody"/>
        <w:bidi w:val="0"/>
        <w:spacing w:before="120" w:after="0"/>
        <w:jc w:val="left"/>
        <w:rPr>
          <w:rFonts w:ascii="Times New Roman" w:hAnsi="Times New Roman"/>
          <w:sz w:val="20"/>
        </w:rPr>
      </w:pPr>
      <w:r>
        <w:rPr>
          <w:rFonts w:ascii="Times New Roman" w:hAnsi="Times New Roman"/>
          <w:sz w:val="20"/>
        </w:rPr>
        <w:t xml:space="preserve">Additionally, a fiduciary of a Plan should consider whether the Plan will, by investing in us,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 </w:t>
      </w:r>
    </w:p>
    <w:p>
      <w:pPr>
        <w:pStyle w:val="TextBody"/>
        <w:bidi w:val="0"/>
        <w:spacing w:before="240" w:after="0"/>
        <w:jc w:val="left"/>
        <w:rPr>
          <w:rFonts w:ascii="Times New Roman" w:hAnsi="Times New Roman"/>
          <w:sz w:val="20"/>
        </w:rPr>
      </w:pPr>
      <w:r>
        <w:rPr>
          <w:rFonts w:ascii="Times New Roman" w:hAnsi="Times New Roman"/>
          <w:sz w:val="20"/>
        </w:rPr>
        <w:t>The Department of Labor (the “</w:t>
      </w:r>
      <w:r>
        <w:rPr>
          <w:rFonts w:ascii="Times New Roman" w:hAnsi="Times New Roman"/>
          <w:b/>
          <w:sz w:val="20"/>
        </w:rPr>
        <w:t>DOL</w:t>
      </w:r>
      <w:r>
        <w:rPr>
          <w:rFonts w:ascii="Times New Roman" w:hAnsi="Times New Roman"/>
          <w:sz w:val="20"/>
        </w:rPr>
        <w:t xml:space="preserve">”)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 </w:t>
      </w:r>
    </w:p>
    <w:p>
      <w:pPr>
        <w:pStyle w:val="TextBody"/>
        <w:bidi w:val="0"/>
        <w:spacing w:before="120" w:after="0"/>
        <w:jc w:val="left"/>
        <w:rPr>
          <w:rFonts w:ascii="Times New Roman" w:hAnsi="Times New Roman"/>
          <w:sz w:val="20"/>
        </w:rPr>
      </w:pPr>
      <w:r>
        <w:rPr>
          <w:rFonts w:ascii="Times New Roman" w:hAnsi="Times New Roman"/>
          <w:sz w:val="20"/>
        </w:rPr>
        <w:t xml:space="preserve">(a) the equity interests acquired by ERISA Plans are “publicly-offered securities” (as defined in the DOL regulations)—i.e., the equity interests are part of a class of securities that is widely held by 100 or more investors independent of the issuer and each other, are freely transferable, and are either registered under certain provisions of the federal securities laws or sold to the ERISA Plan as part of a public offering under certain conditions; </w:t>
      </w:r>
    </w:p>
    <w:p>
      <w:pPr>
        <w:pStyle w:val="TextBody"/>
        <w:bidi w:val="0"/>
        <w:spacing w:before="120" w:after="0"/>
        <w:jc w:val="left"/>
        <w:rPr>
          <w:rFonts w:ascii="Times New Roman" w:hAnsi="Times New Roman"/>
          <w:sz w:val="20"/>
        </w:rPr>
      </w:pPr>
      <w:r>
        <w:rPr>
          <w:rFonts w:ascii="Times New Roman" w:hAnsi="Times New Roman"/>
          <w:sz w:val="20"/>
        </w:rPr>
        <w:t xml:space="preserve">(b) the entity is an “operating company” (as defined in the DOL regulations)—i.e., it is primarily engaged in the production or sale of a product or service, other than the investment of capital, either directly or through a majority-owned subsidiary or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(c) there is no significant investment by “benefit plan investors” (as defined in the DOL regulations)—i.e.,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and certain other Plans (but not including governmental plans, foreign plans and certain church plans), and entities whose underlying assets are deemed to include plan assets by reason of a Plan’s investment in the entity. </w:t>
      </w:r>
    </w:p>
    <w:p>
      <w:pPr>
        <w:pStyle w:val="TextBody"/>
        <w:bidi w:val="0"/>
        <w:spacing w:before="240" w:after="0"/>
        <w:jc w:val="left"/>
        <w:rPr>
          <w:rFonts w:ascii="Times New Roman" w:hAnsi="Times New Roman"/>
          <w:sz w:val="20"/>
        </w:rPr>
      </w:pPr>
      <w:r>
        <w:rPr>
          <w:rFonts w:ascii="Times New Roman" w:hAnsi="Times New Roman"/>
          <w:sz w:val="20"/>
        </w:rPr>
        <w:t xml:space="preserve">Due to the complexity of these rules and the excise taxes, penalties and liabilities that may be imposed upon persons involved in non-exempt prohibited transactions, it is particularly important that fiduciaries, or other persons considering acquiring and/or holding shares of our common stock on behalf of, or with the assets of, any Plan, consult with their counsel regarding the potential applicability of ERISA, Section 4975 of the Code and any Similar Laws to such investment and whether an exemption would be applicable to the acquisition and holding of shares of common stock. Purchasers of shares of common stock have the exclusive responsibility for ensuring that their acquisition and holding of shares of common stock complies with the fiduciary responsibility rules of ERISA and does not violate the prohibited transaction rules of ERISA, the Code or applicable Similar Laws.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 of shares of common stock to a Plan is in no respect a representation by us or any of our affiliates or representatives that such an investment meets all relevant legal requirements with respect to investments by any such Plan or that such investment is appropriate for any such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32791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described in this prospectus through Barclays Capital Inc., the underwriter in this offering. We and the selling stockholders have entered into an underwriting agreement with the underwriter. Subject to the terms and conditions of the underwriting agreement, the selling stockholders identified in this prospectus supplement have agreed to sell to the underwriter, and the underwriter has agreed to purchase 5,000,000 shares of common stock. The underwriter is committed to purchase all the shares of common stock offered by the selling stockholders if it purchases any shares.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agreed to purchase the shares of common stock from the selling shareholder at a price of $28.71 per share, which will result in $143,550,000 of proceeds to the selling shareholder before expenses. The underwriter proposes to offer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The underwriter may effect such transactions by selling the shares of common stock to or through dealers, and such dealers may receive compensation in the form of discounts, concessions or commissions from the underwriter and/or purchasers for whom they may act as agents or to whom they may sell as principal. The offering of the common stock by the underwriter is subject to receipt and acceptance and subject to the underwriter’s right to reject any order in whole or in part. In connection with the sale of shares of common stock offered hereby, the underwriter may be deemed to have received compensation in the form of underwriting discounts.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we will pay all expenses related to the registration, offering, and listing of these shares, including the fees and expenses of one counsel for the selling stockholders. The selling stockholders will pay any underwriting fees, discounts and commissions and any additional attorneys’ fees incurred on their own behalf. We estimate that the total expenses of this offering, including registration, filing and listing fees, printing fees and legal and accounting expenses, but excluding the underwriting discounts and commissions, will be approximately $640,000. We have also agreed to reimburse the underwriter for certain of their expenses in an amount up to $25,000.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receive all of the proceeds from this offering and we will not receive any proceeds from the sale of shares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the underwriter, or selling group members, if any, participating in the offering. The underwriter may agree to allocate a number of shares to selling group members, if any, for sale to their online brokerage account holders. Internet distributions will be allocated by the underwriter to selling group members, if any,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for a period of 45 days after the date of this prospectus supplement,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any securities convertible into or exercisable or exchangeable for our common stock, or publicly disclose the intention to undertake any of the foregoing, or (ii) enter into any swap or other agreement that transfers, in whole or in part, any of the economic consequences of ownership of common stock or any such other securities, whether any such transaction described in clause (i) or (ii) above is to be settled by delivery of common stock or such other securities, in cash or otherwise, without the prior written consent of the underwriter, other than the shares of our common stock to be sold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(i) the issuance of shares of common stock or securities convertible into or exercisable for shares of our common stock pursuant to the conversion or exchange of convertible or exchangeable securities or the exercise of warrants or stock options (including net exercise)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of restricted stock units (including net settlement), in each case outstanding on the date of the underwriting agreement and described in this prospectus supplement; (ii) grants of stock options,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supplement; (iii) the filing of any registration statement on Form S-8 relating to securities granted or to be granted pursuant to any equity compensation plan in effect on the date of the underwriting agreement and described in this prospectus supplement or any assumed benefit plan pursuant to an acquisition or similar strategic transaction or (iv) the issuance of common stock as consideration for acquisitions entered into or announced after the date hereof; provided, that the shares of common stock issued pursuant to the foregoing clause (iv) do not, in the aggregate, represent more than 10% of the number of shares of common stock outstanding upon completion of the offering pursuant to the underwriting agreement and each recipient of such shares agrees in writing to be bound by a lock-up or similar agreement substantially in the form attached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and each selling stockholder (such persons, the “lock-up parties”) have entered into lock-up agreements with the underwriter prior to the commencement of this offering pursuant to which each lock-up party, with limited exceptions, for a period of 45 days after the date of this prospectus (such period, the “restricted period”), may not (and may not cause any of their affiliates to), without the prior written consent of the underwriter,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and contained in the lock-up agreements between the underwriter and the lock-up parties do not apply, subject in certain cases to various conditions, to certain transactions, including (a) transfers of lock-up securities: (i) as a bona fide gift or gifts or charitable contribution, or for bona fide estate planning purposes, (ii) by will or intestacy, (iii) to any immediate family member of the lock-up party, any trust for the direct or indirect benefit of the lock-up party or any immediate family member, or if the lock-up party is a trust, to a trustor or beneficiary of the trust or to the estate of a beneficiary of such trust,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affiliates (including, for the avoidance of doubt, where the undersigned is a partnership, to its general partner or a successor partnership or fund, or any other funds managed by such partnership), or (B) as part of a distribution to members, limited or general partners or shareholders of the lock-up party; (vii) by operation of law, (viii) to us from an employee upon death, disability or termination of employment of such employee, (ix) to the extent such lock-up securities were acquired in open market transactions after the completion of this offering, (x) to us in connection with the vesting, settlement or exercise of restricted stock units, options, warrants or other rights to purchase shares of our common stock (including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restrictions in the immediately preceding paragraph, or (xi) pursuant to a bona fide third-party tender offer, merger, consolidation or other similar transaction approved by our Board and made to all stockholders involving a change in control of the Company,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such common stock or warrant received upon such conversion would be subject to restrictions similar to those in the immediately preceding paragraph; (d) the establishment by lock-up parties of trading plans under Rule 10b5-1 under the Exchange Act, provided that (1) such plan does not provide for the transfer of lock-up securities during the restricted period and (2) any public announcement or filing under the Exchange Act made by any person regarding the establishment of such trading plan during the restricted period shall include a statement that such person is not permitted to transfer, sell or otherwise dispose of securities under such trading plan during the restricted period in contravention of the lock-up agreement, (e) the transfer or sale of lock-up securities pursuant to any trading plan under Rule 10b5-1 under the Exchange Act that has been entered into by the lock-up party prior to the date of the lock-up agreement, provided that any filing required to be made under Section 16(a) of the Exchange Act as a result of such transfer or sale must state that such transfer or sale is pursuant to a trading plan pursuant to Rule 10b5-1; and (f) the sale of our common stock pursuant to the terms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in its sole discretion, may release the securities subject to any of the lock-up agreements with the underwriter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listed/quoted on the NYSE under the symbol “INVX”.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 of a greater number of shares of common stock than they are required to purchase in this offering, and purchasing shares of common stock on the open market to cover positions created by short sales. Short sales may be “covered” shorts, or may be “naked” shorts. The underwriter may close out any covered short position by purchasing shares in the open market. A naked short position is more likely to be created if the underwriter is concerned that there may be downward pressure on the price of the common stock in the open market that could adversely affect investors who purchase in this offering. To the extent that the underwriter creates a naked short position, it will purchase shares in the open market to cover the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 has advised us that, pursuant to Regulation M of the Securities Act, it may also engage in other activities that stabilize, maintain or otherwise affect the price of the common stock, including the imposition of penalty bids.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the NYSE,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are full service financial institutions engaged in various activities, which may include, among other activities, securities trading and underwriting, commercial and investment banking, financial advisory, corporate trust, investment management, investment research, principal investment, hedging, financing and brokerage activities. In the ordinary course of their respective businesses, the underwriter and/or its affiliates may in the future provide us and our affiliates with commercial banking, investment banking, financial advisory and other services for which they will receive customary fees.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respective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have been approved by the competent authority in that Relevant State or, where appropriate, approved in another Relevant State and notified to the competent authority in that Relevant State, all in accordance with the Prospectus Regulation, except that shares of common stock may be offered to the public in that Relevant State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qualified investor as defined under Article 2 of the Prospectus Regulation;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provided that no such offer of shares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in any Relevant State means the communication in any form and by any means of sufficient information on the terms of the offer and any shares of common stock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common stock have been offered or will be offered pursuant to the offering to the public in the United Kingdom except that shares of common stock may be offered to the public in the United Kingdom at any time: </w:t>
      </w:r>
    </w:p>
    <w:p>
      <w:pPr>
        <w:pStyle w:val="TextBody"/>
        <w:bidi w:val="0"/>
        <w:spacing w:before="120" w:after="0"/>
        <w:jc w:val="left"/>
        <w:rPr>
          <w:rFonts w:ascii="Times New Roman" w:hAnsi="Times New Roman"/>
          <w:sz w:val="20"/>
        </w:rPr>
      </w:pPr>
      <w:r>
        <w:rPr>
          <w:rFonts w:ascii="Times New Roman" w:hAnsi="Times New Roman"/>
          <w:sz w:val="20"/>
        </w:rPr>
        <w:t xml:space="preserve">(a) where the offer is conditional on the admission of shares of common stock to trading on the London Stock Exchange plc’s main market (in reliance on the exception in paragraph 6(a)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(b) to any qualified investor as defined under paragraph 15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(c) to fewer than 150 persons (other than qualified investors as defined under paragraph 15 of Schedule 1 of the POATR), subject to obtaining the prior consent of the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(d) in any other circumstances falling within Part 1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in the United Kingdom means the communication to any person which presents sufficient information on: (a) the shares of common stock to be offered; and (b) the terms on which they are to be offered, to enable an investor to decide to buy or subscribe for the shares and the expressions “POATR” means the Public Offers and Admissions to Trading Regulations 2024.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Our shares of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any person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reference to the “SFA” is a reference to the Securities and Futures Act 2001 of Singapore, as modified or amended from time to time and a reference to any term as defined in the SFA or any provision in the SFA is a reference to that term or provision as modified or amended from time to time including by such of its subsidiary legislation as may be applicable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offering has not been and will not be registered under the Financial Instruments and Exchange Act of Japan (Act No. 25 of 1948 of Japan, as amended, the “FIEA”),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offering of the securities in Switzerland is exempt from requirement to prepare and publish a prospectus under the Swiss Financial Services Act (“FinSA”) because such offering is made to professional clients within the meaning of the FinSA only and the securities will not be admitted to trading on any trading venue (exchange or multilateral trading facility) in Switzerland. This prospectus does not constitute a prospectus pursuant to the FinSA, and no such prospectus has been or will be prepared for or in connection with the offering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(the “ASIC”) in relation to this offering. This prospectus does not constitute a prospectus, product disclosure statement, or other disclosure document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Corporations Act 2001 (“the Corporations Act”), and does not purport to include the information required for a prospectus, product disclosure statement, or other disclosure document under the Corporations Act. Any offer in Australia of our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Brazil </w:t>
      </w:r>
    </w:p>
    <w:p>
      <w:pPr>
        <w:pStyle w:val="TextBody"/>
        <w:bidi w:val="0"/>
        <w:spacing w:before="120" w:after="0"/>
        <w:jc w:val="left"/>
        <w:rPr>
          <w:rFonts w:ascii="Times New Roman" w:hAnsi="Times New Roman"/>
          <w:sz w:val="20"/>
        </w:rPr>
      </w:pPr>
      <w:r>
        <w:rPr>
          <w:rFonts w:ascii="Times New Roman" w:hAnsi="Times New Roman"/>
          <w:sz w:val="20"/>
        </w:rPr>
        <w:t>The offer and sale of the securities have not been and will not be registered with the Brazilian Securities Commission (</w:t>
      </w:r>
      <w:r>
        <w:rPr>
          <w:rFonts w:ascii="Times New Roman" w:hAnsi="Times New Roman"/>
          <w:i/>
          <w:sz w:val="20"/>
        </w:rPr>
        <w:t>Comissão de Valores Mobiliários</w:t>
      </w:r>
      <w:r>
        <w:rPr>
          <w:rFonts w:ascii="Times New Roman" w:hAnsi="Times New Roman"/>
          <w:sz w:val="20"/>
        </w:rPr>
        <w:t xml:space="preserve">,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constitute a public offer of shares, whether by sale or subscription, in the People’s Republic of China (the “PRC”). The shares are not being offered or sold directly or indirectly in the PRC to or for the benefit of, legal or natural persons of the PRC. </w:t>
      </w:r>
    </w:p>
    <w:p>
      <w:pPr>
        <w:pStyle w:val="TextBody"/>
        <w:bidi w:val="0"/>
        <w:spacing w:before="240" w:after="0"/>
        <w:jc w:val="left"/>
        <w:rPr>
          <w:rFonts w:ascii="Times New Roman" w:hAnsi="Times New Roman"/>
          <w:sz w:val="20"/>
        </w:rPr>
      </w:pPr>
      <w:r>
        <w:rPr>
          <w:rFonts w:ascii="Times New Roman" w:hAnsi="Times New Roman"/>
          <w:sz w:val="20"/>
        </w:rPr>
        <w:t xml:space="preserve">Further, no legal or natural persons of the PRC may directly or indirectly purchase any of the shares of common stock offered by this prospectus or any beneficial interest therein without obtaining all prior PRC governmental approvals that are required, whether statutorily or otherwise. Persons who come into possession of this document are required by the issuer and its representatives to observe these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which is not subject to any form of regulation or approval by the Dubai Financial Services Authority (the “DFSA”). The DFSA has not approved this prospectus nor has any responsibility for reviewing or verifying any document or other documents in connection with the offering. Accordingly, the DFSA has not approved this prospectus or any other associated documents nor taken any steps to verify the information set out in this prospectus, and has no responsibility for it.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have not been offered and will not be offered to any persons in the DIFC except on the basis that an offer is: </w:t>
      </w:r>
    </w:p>
    <w:p>
      <w:pPr>
        <w:pStyle w:val="TextBody"/>
        <w:bidi w:val="0"/>
        <w:spacing w:before="120" w:after="0"/>
        <w:jc w:val="left"/>
        <w:rPr>
          <w:rFonts w:ascii="Times New Roman" w:hAnsi="Times New Roman"/>
          <w:sz w:val="20"/>
        </w:rPr>
      </w:pPr>
      <w:r>
        <w:rPr>
          <w:rFonts w:ascii="Times New Roman" w:hAnsi="Times New Roman"/>
          <w:sz w:val="20"/>
        </w:rPr>
        <w:t xml:space="preserve">(i) an “Exempt Offer” in accordance with the Markets Rules (MKT) Module of the DFSA Rulebook;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only to persons who meet the “Deemed Professional Client” criteria set out in Rule 2.3.4 of the Conduct of Business (COB) module of the DFSA Rulebook, who are not natural persons.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The offered by this document have not been approved or disapproved by the Israel Securities Authority (the “ISA”), nor have such securities been registered for sale in Israel. The securities may not be offered or sold, directly or indirectly, to the public in Israel, absent the publication of a prospectus that has been approved by the ISA. The ISA has not issued permits, approvals or licenses in connection with this offering or publishing this document, nor has it authenticated the details included herein, confirmed their reliability or completeness, or rendered an opinion as to the quality of the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(the “Israeli Securities Law”), and has not been filed with or approved by the ISA. In Israel, this prospectus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32791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being offered by this prospectus supplement and the accompanying prospectus and certain other legal matters will be passed upon for us and for the selling stockholders by Akin Gump Strauss Hauer &amp; Feld LLP, Houston, Texas. Certain legal matters will be passed upon for the underwriters by Latham &amp; Watkins LLP, Houston, Texas. </w:t>
      </w:r>
    </w:p>
    <w:p>
      <w:pPr>
        <w:pStyle w:val="TextBody"/>
        <w:bidi w:val="0"/>
        <w:spacing w:before="480" w:after="0"/>
        <w:jc w:val="center"/>
        <w:rPr>
          <w:rFonts w:ascii="Times New Roman" w:hAnsi="Times New Roman"/>
          <w:b/>
          <w:sz w:val="20"/>
        </w:rPr>
      </w:pPr>
      <w:bookmarkStart w:id="15" w:name="supprom32791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Innovex International, Inc. as of December 31, 2025 and 2024 and for the years then ended and management’s assessment of the effectiveness of internal control over financial reporting (which is included in Management’s Report on Internal Control Over Financial Reporting) as of December 31, 2025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Innovex International, Inc. (formerly known as Innovex Downhole Solutions, Inc.) for the year ended December 31, 2023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Up to 29,369,822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319145" cy="755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3319145" cy="755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INNOVEX INTERNATIONAL,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resale from time to time of up to 29,369,822 shares of our common stock, par value $0.01 per share, by the selling stockholders identified herein. The selling stockholders received these shares from us on September 6, 2024 in exchange for their shares of common stock of Innovex Downhole Solutions, Inc. (“Innovex Downhole”) in connection with our acquisition through merger of Innovex Downhole. We will not receive any proceeds from the sale of our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offer and sell or otherwise dispose of their shares of our common stock described in this prospectus from time to time through public or private transactions at fixed prices, at prevailing market prices at the time of sale, at prices related to the prevailing market price, at varying prices determined at the time of sale or at negotiated prices. See “Plan of Distribution” for more information about how the selling stockholders may sell or dispose of its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“INVX.” On September 16, 2024, the last reported sale price for our common stock was $15.27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 You should carefully read the information under the heading “</w:t>
      </w:r>
      <w:hyperlink w:anchor="tx32791_5">
        <w:r>
          <w:rPr>
            <w:rStyle w:val="InternetLink"/>
            <w:rFonts w:ascii="Times New Roman" w:hAnsi="Times New Roman"/>
            <w:b/>
            <w:sz w:val="24"/>
          </w:rPr>
          <w:t>Risk Factors</w:t>
        </w:r>
      </w:hyperlink>
      <w:r>
        <w:rPr>
          <w:rFonts w:ascii="Times New Roman" w:hAnsi="Times New Roman"/>
          <w:b/>
          <w:sz w:val="24"/>
        </w:rPr>
        <w:t xml:space="preserve">” on page 1 of this prospectus and the risk factors contained in any applicable prospectus supplement and the documents incorporated by reference herein or therein before making a decision to purchase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1">
              <w:r>
                <w:rPr>
                  <w:rStyle w:val="InternetLink"/>
                  <w:rFonts w:ascii="Times New Roman" w:hAnsi="Times New Roman"/>
                  <w:sz w:val="20"/>
                </w:rPr>
                <w:t xml:space="preserve">ABOUT THIS PROSPECTUS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3">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4">
              <w:r>
                <w:rPr>
                  <w:rStyle w:val="InternetLink"/>
                  <w:rFonts w:ascii="Times New Roman" w:hAnsi="Times New Roman"/>
                  <w:sz w:val="20"/>
                </w:rPr>
                <w:t>INNOVEX INTERNATIONAL,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7">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32791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2791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filed with the Securities and Exchange Commission (the “SEC”), using a “shelf” registration process. We are responsible for the information contained in this prospectus, any applicable prospectus supplement and any permitted free writing prospectus. Neither we nor the selling stockholders have authorized anyone to provide you with additional or different information.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any applicable prospectus supplement or any permitted free writing prospectus is accurate as of any date other than the date on the front cover of the prospectus or the applicable prospectus supplement or the date of any free writing prospectus, or that the information incorporated by reference is accurate as of any date other than the date of the document incorporated by reference, regardless of the time of delivery of this prospectus or any sale of any security.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the “Company,” “Innovex,” “we,” “us,” “our” and similar terms refer to Innovex International, Inc. and its subsidiaries, unless we state otherwise or the context indicates otherwise. </w:t>
      </w:r>
    </w:p>
    <w:p>
      <w:pPr>
        <w:pStyle w:val="TextBody"/>
        <w:bidi w:val="0"/>
        <w:spacing w:before="480" w:after="0"/>
        <w:jc w:val="center"/>
        <w:rPr>
          <w:rFonts w:ascii="Times New Roman" w:hAnsi="Times New Roman"/>
          <w:b/>
          <w:sz w:val="20"/>
        </w:rPr>
      </w:pPr>
      <w:bookmarkStart w:id="18" w:name="tx32791_2"/>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also filed a registration statement on Form S-3, including exhibits, under the Securities Act of 1933, as amended (the “Securities Act”), with respect to the securities offered by this prospectus. This prospectus is a part of the registration statement, but does not contain all of the information included in the registration statement or the exhibits. You can find our public filings with the SEC on the internet at a web site maintained by the SEC located at http://www.sec.gov. We also make available on our internet website our annual, quarterly and current reports and amendments as soon as reasonably practicable after such documents are electronically filed with, or furnished to, the SEC. Our Internet address is www.innovex-inc.com. The information on our website is not incorporated by reference into this prospectus and does not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specified documents that we file with the SEC,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documents are considered part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disclosing important information to you by referring you to those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we file later with the SEC will automatically update and supersede information contained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(excluding any information furnished and not filed with the SEC), which we filed with the SEC under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2023 originally filed on </w:t>
            </w:r>
            <w:hyperlink r:id="rId15">
              <w:r>
                <w:rPr>
                  <w:rStyle w:val="InternetLink"/>
                  <w:rFonts w:ascii="Times New Roman" w:hAnsi="Times New Roman"/>
                  <w:sz w:val="20"/>
                </w:rPr>
                <w:t>February 27, 2024</w:t>
              </w:r>
            </w:hyperlink>
            <w:r>
              <w:rPr>
                <w:rFonts w:ascii="Times New Roman" w:hAnsi="Times New Roman"/>
                <w:sz w:val="20"/>
              </w:rPr>
              <w:t xml:space="preserve">, as amended by Form 10-K/A filed on </w:t>
            </w:r>
            <w:hyperlink r:id="rId16">
              <w:r>
                <w:rPr>
                  <w:rStyle w:val="InternetLink"/>
                  <w:rFonts w:ascii="Times New Roman" w:hAnsi="Times New Roman"/>
                  <w:sz w:val="20"/>
                </w:rPr>
                <w:t>July 8, 2024</w:t>
              </w:r>
            </w:hyperlink>
            <w:r>
              <w:rPr>
                <w:rFonts w:ascii="Times New Roman" w:hAnsi="Times New Roman"/>
                <w:sz w:val="20"/>
              </w:rPr>
              <w:t xml:space="preserve"> and Form 10-K/A filed on </w:t>
            </w:r>
            <w:hyperlink r:id="rId17">
              <w:r>
                <w:rPr>
                  <w:rStyle w:val="InternetLink"/>
                  <w:rFonts w:ascii="Times New Roman" w:hAnsi="Times New Roman"/>
                  <w:sz w:val="20"/>
                </w:rPr>
                <w:t>August 1, 2024</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2024 originally filed on </w:t>
            </w:r>
            <w:hyperlink r:id="rId18">
              <w:r>
                <w:rPr>
                  <w:rStyle w:val="InternetLink"/>
                  <w:rFonts w:ascii="Times New Roman" w:hAnsi="Times New Roman"/>
                  <w:sz w:val="20"/>
                </w:rPr>
                <w:t>May 2, 2024</w:t>
              </w:r>
            </w:hyperlink>
            <w:r>
              <w:rPr>
                <w:rFonts w:ascii="Times New Roman" w:hAnsi="Times New Roman"/>
                <w:sz w:val="20"/>
              </w:rPr>
              <w:t xml:space="preserve">, as amended by Form 10-Q/A filed on </w:t>
            </w:r>
            <w:hyperlink r:id="rId19">
              <w:r>
                <w:rPr>
                  <w:rStyle w:val="InternetLink"/>
                  <w:rFonts w:ascii="Times New Roman" w:hAnsi="Times New Roman"/>
                  <w:sz w:val="20"/>
                </w:rPr>
                <w:t>July 8, 2024</w:t>
              </w:r>
            </w:hyperlink>
            <w:r>
              <w:rPr>
                <w:rFonts w:ascii="Times New Roman" w:hAnsi="Times New Roman"/>
                <w:sz w:val="20"/>
              </w:rPr>
              <w:t xml:space="preserve">, and for the quarter ended June  30, 2024 filed on </w:t>
            </w:r>
            <w:hyperlink r:id="rId20">
              <w:r>
                <w:rPr>
                  <w:rStyle w:val="InternetLink"/>
                  <w:rFonts w:ascii="Times New Roman" w:hAnsi="Times New Roman"/>
                  <w:sz w:val="20"/>
                </w:rPr>
                <w:t>August 7,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or 8-K/A filed with the SEC on </w:t>
            </w:r>
            <w:hyperlink r:id="rId21">
              <w:r>
                <w:rPr>
                  <w:rStyle w:val="InternetLink"/>
                  <w:rFonts w:ascii="Times New Roman" w:hAnsi="Times New Roman"/>
                  <w:sz w:val="20"/>
                </w:rPr>
                <w:t>March  18, 2024</w:t>
              </w:r>
            </w:hyperlink>
            <w:r>
              <w:rPr>
                <w:rFonts w:ascii="Times New Roman" w:hAnsi="Times New Roman"/>
                <w:sz w:val="20"/>
              </w:rPr>
              <w:t xml:space="preserve">, </w:t>
            </w:r>
            <w:hyperlink r:id="rId22">
              <w:r>
                <w:rPr>
                  <w:rStyle w:val="InternetLink"/>
                  <w:rFonts w:ascii="Times New Roman" w:hAnsi="Times New Roman"/>
                  <w:sz w:val="20"/>
                </w:rPr>
                <w:t>May  8, 2024</w:t>
              </w:r>
            </w:hyperlink>
            <w:r>
              <w:rPr>
                <w:rFonts w:ascii="Times New Roman" w:hAnsi="Times New Roman"/>
                <w:sz w:val="20"/>
              </w:rPr>
              <w:t xml:space="preserve">, </w:t>
            </w:r>
            <w:hyperlink r:id="rId23">
              <w:r>
                <w:rPr>
                  <w:rStyle w:val="InternetLink"/>
                  <w:rFonts w:ascii="Times New Roman" w:hAnsi="Times New Roman"/>
                  <w:sz w:val="20"/>
                </w:rPr>
                <w:t>May  8, 2024</w:t>
              </w:r>
            </w:hyperlink>
            <w:r>
              <w:rPr>
                <w:rFonts w:ascii="Times New Roman" w:hAnsi="Times New Roman"/>
                <w:sz w:val="20"/>
              </w:rPr>
              <w:t xml:space="preserve">, </w:t>
            </w:r>
            <w:hyperlink r:id="rId24">
              <w:r>
                <w:rPr>
                  <w:rStyle w:val="InternetLink"/>
                  <w:rFonts w:ascii="Times New Roman" w:hAnsi="Times New Roman"/>
                  <w:sz w:val="20"/>
                </w:rPr>
                <w:t>May  14, 2024</w:t>
              </w:r>
            </w:hyperlink>
            <w:r>
              <w:rPr>
                <w:rFonts w:ascii="Times New Roman" w:hAnsi="Times New Roman"/>
                <w:sz w:val="20"/>
              </w:rPr>
              <w:t xml:space="preserve">, </w:t>
            </w:r>
            <w:hyperlink r:id="rId25">
              <w:r>
                <w:rPr>
                  <w:rStyle w:val="InternetLink"/>
                  <w:rFonts w:ascii="Times New Roman" w:hAnsi="Times New Roman"/>
                  <w:sz w:val="20"/>
                </w:rPr>
                <w:t>May  20, 2024</w:t>
              </w:r>
            </w:hyperlink>
            <w:r>
              <w:rPr>
                <w:rFonts w:ascii="Times New Roman" w:hAnsi="Times New Roman"/>
                <w:sz w:val="20"/>
              </w:rPr>
              <w:t xml:space="preserve">, </w:t>
            </w:r>
            <w:hyperlink r:id="rId26">
              <w:r>
                <w:rPr>
                  <w:rStyle w:val="InternetLink"/>
                  <w:rFonts w:ascii="Times New Roman" w:hAnsi="Times New Roman"/>
                  <w:sz w:val="20"/>
                </w:rPr>
                <w:t>July  8, 2024</w:t>
              </w:r>
            </w:hyperlink>
            <w:r>
              <w:rPr>
                <w:rFonts w:ascii="Times New Roman" w:hAnsi="Times New Roman"/>
                <w:sz w:val="20"/>
              </w:rPr>
              <w:t xml:space="preserve">, </w:t>
            </w:r>
            <w:hyperlink r:id="rId27">
              <w:r>
                <w:rPr>
                  <w:rStyle w:val="InternetLink"/>
                  <w:rFonts w:ascii="Times New Roman" w:hAnsi="Times New Roman"/>
                  <w:sz w:val="20"/>
                </w:rPr>
                <w:t>July  9, 2024</w:t>
              </w:r>
            </w:hyperlink>
            <w:r>
              <w:rPr>
                <w:rFonts w:ascii="Times New Roman" w:hAnsi="Times New Roman"/>
                <w:sz w:val="20"/>
              </w:rPr>
              <w:t xml:space="preserve">, </w:t>
            </w:r>
            <w:hyperlink r:id="rId28">
              <w:r>
                <w:rPr>
                  <w:rStyle w:val="InternetLink"/>
                  <w:rFonts w:ascii="Times New Roman" w:hAnsi="Times New Roman"/>
                  <w:sz w:val="20"/>
                </w:rPr>
                <w:t>August  1, 2024</w:t>
              </w:r>
            </w:hyperlink>
            <w:r>
              <w:rPr>
                <w:rFonts w:ascii="Times New Roman" w:hAnsi="Times New Roman"/>
                <w:sz w:val="20"/>
              </w:rPr>
              <w:t xml:space="preserve">, </w:t>
            </w:r>
            <w:hyperlink r:id="rId29">
              <w:r>
                <w:rPr>
                  <w:rStyle w:val="InternetLink"/>
                  <w:rFonts w:ascii="Times New Roman" w:hAnsi="Times New Roman"/>
                  <w:sz w:val="20"/>
                </w:rPr>
                <w:t>August  1, 2024</w:t>
              </w:r>
            </w:hyperlink>
            <w:r>
              <w:rPr>
                <w:rFonts w:ascii="Times New Roman" w:hAnsi="Times New Roman"/>
                <w:sz w:val="20"/>
              </w:rPr>
              <w:t xml:space="preserve"> </w:t>
            </w:r>
            <w:hyperlink r:id="rId30">
              <w:r>
                <w:rPr>
                  <w:rStyle w:val="InternetLink"/>
                  <w:rFonts w:ascii="Times New Roman" w:hAnsi="Times New Roman"/>
                  <w:sz w:val="20"/>
                </w:rPr>
                <w:t>August  12, 2024</w:t>
              </w:r>
            </w:hyperlink>
            <w:r>
              <w:rPr>
                <w:rFonts w:ascii="Times New Roman" w:hAnsi="Times New Roman"/>
                <w:sz w:val="20"/>
              </w:rPr>
              <w:t xml:space="preserve">, </w:t>
            </w:r>
            <w:hyperlink r:id="rId31">
              <w:r>
                <w:rPr>
                  <w:rStyle w:val="InternetLink"/>
                  <w:rFonts w:ascii="Times New Roman" w:hAnsi="Times New Roman"/>
                  <w:sz w:val="20"/>
                </w:rPr>
                <w:t>August  19, 2024</w:t>
              </w:r>
            </w:hyperlink>
            <w:r>
              <w:rPr>
                <w:rFonts w:ascii="Times New Roman" w:hAnsi="Times New Roman"/>
                <w:sz w:val="20"/>
              </w:rPr>
              <w:t xml:space="preserve">, </w:t>
            </w:r>
            <w:hyperlink r:id="rId32">
              <w:r>
                <w:rPr>
                  <w:rStyle w:val="InternetLink"/>
                  <w:rFonts w:ascii="Times New Roman" w:hAnsi="Times New Roman"/>
                  <w:sz w:val="20"/>
                </w:rPr>
                <w:t>August  26, 2025</w:t>
              </w:r>
            </w:hyperlink>
            <w:r>
              <w:rPr>
                <w:rFonts w:ascii="Times New Roman" w:hAnsi="Times New Roman"/>
                <w:sz w:val="20"/>
              </w:rPr>
              <w:t xml:space="preserve">, </w:t>
            </w:r>
            <w:hyperlink r:id="rId33">
              <w:r>
                <w:rPr>
                  <w:rStyle w:val="InternetLink"/>
                  <w:rFonts w:ascii="Times New Roman" w:hAnsi="Times New Roman"/>
                  <w:sz w:val="20"/>
                </w:rPr>
                <w:t>September  5, 2024</w:t>
              </w:r>
            </w:hyperlink>
            <w:r>
              <w:rPr>
                <w:rFonts w:ascii="Times New Roman" w:hAnsi="Times New Roman"/>
                <w:sz w:val="20"/>
              </w:rPr>
              <w:t xml:space="preserve">, </w:t>
            </w:r>
            <w:hyperlink r:id="rId34">
              <w:r>
                <w:rPr>
                  <w:rStyle w:val="InternetLink"/>
                  <w:rFonts w:ascii="Times New Roman" w:hAnsi="Times New Roman"/>
                  <w:sz w:val="20"/>
                </w:rPr>
                <w:t>September  6, 2024</w:t>
              </w:r>
            </w:hyperlink>
            <w:r>
              <w:rPr>
                <w:rFonts w:ascii="Times New Roman" w:hAnsi="Times New Roman"/>
                <w:sz w:val="20"/>
              </w:rPr>
              <w:t xml:space="preserve">. </w:t>
            </w:r>
            <w:hyperlink r:id="rId35">
              <w:r>
                <w:rPr>
                  <w:rStyle w:val="InternetLink"/>
                  <w:rFonts w:ascii="Times New Roman" w:hAnsi="Times New Roman"/>
                  <w:sz w:val="20"/>
                </w:rPr>
                <w:t>September  12, 2024</w:t>
              </w:r>
            </w:hyperlink>
            <w:r>
              <w:rPr>
                <w:rFonts w:ascii="Times New Roman" w:hAnsi="Times New Roman"/>
                <w:sz w:val="20"/>
              </w:rPr>
              <w:t xml:space="preserve"> and </w:t>
            </w:r>
            <w:hyperlink r:id="rId36">
              <w:r>
                <w:rPr>
                  <w:rStyle w:val="InternetLink"/>
                  <w:rFonts w:ascii="Times New Roman" w:hAnsi="Times New Roman"/>
                  <w:sz w:val="20"/>
                </w:rPr>
                <w:t>September 16,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following sections in our Registration Statement on Form S-4 (File No. 333-279048), filed with the SEC on </w:t>
            </w:r>
            <w:hyperlink r:id="rId37">
              <w:r>
                <w:rPr>
                  <w:rStyle w:val="InternetLink"/>
                  <w:rFonts w:ascii="Times New Roman" w:hAnsi="Times New Roman"/>
                  <w:sz w:val="20"/>
                </w:rPr>
                <w:t>May  1, 2024</w:t>
              </w:r>
            </w:hyperlink>
            <w:r>
              <w:rPr>
                <w:rFonts w:ascii="Times New Roman" w:hAnsi="Times New Roman"/>
                <w:sz w:val="20"/>
              </w:rPr>
              <w:t xml:space="preserve">, as amended on </w:t>
            </w:r>
            <w:hyperlink r:id="rId38">
              <w:r>
                <w:rPr>
                  <w:rStyle w:val="InternetLink"/>
                  <w:rFonts w:ascii="Times New Roman" w:hAnsi="Times New Roman"/>
                  <w:sz w:val="20"/>
                </w:rPr>
                <w:t>June  14, 2024</w:t>
              </w:r>
            </w:hyperlink>
            <w:r>
              <w:rPr>
                <w:rFonts w:ascii="Times New Roman" w:hAnsi="Times New Roman"/>
                <w:sz w:val="20"/>
              </w:rPr>
              <w:t xml:space="preserve"> and on </w:t>
            </w:r>
            <w:hyperlink r:id="rId39">
              <w:r>
                <w:rPr>
                  <w:rStyle w:val="InternetLink"/>
                  <w:rFonts w:ascii="Times New Roman" w:hAnsi="Times New Roman"/>
                  <w:sz w:val="20"/>
                </w:rPr>
                <w:t>August 5, 2024</w:t>
              </w:r>
            </w:hyperlink>
            <w:r>
              <w:rPr>
                <w:rFonts w:ascii="Times New Roman" w:hAnsi="Times New Roman"/>
                <w:sz w:val="20"/>
              </w:rPr>
              <w:t xml:space="preserve"> (the “Form S-4”): Risk Factors—Risks Relating to the Combined Company, Risk Factors—Other Risks Relating to Innovex, Risk Factors—Other Risks Relating to Dril-Quip, Innovex Business, and Executive Compensation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included in </w:t>
            </w:r>
            <w:hyperlink r:id="rId40">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2019 (which updates the description of our the common stock contained in the Registration Statement on </w:t>
            </w:r>
            <w:hyperlink r:id="rId41">
              <w:r>
                <w:rPr>
                  <w:rStyle w:val="InternetLink"/>
                  <w:rFonts w:ascii="Times New Roman" w:hAnsi="Times New Roman"/>
                  <w:sz w:val="20"/>
                </w:rPr>
                <w:t>Form 8-A/A</w:t>
              </w:r>
            </w:hyperlink>
            <w:r>
              <w:rPr>
                <w:rFonts w:ascii="Times New Roman" w:hAnsi="Times New Roman"/>
                <w:sz w:val="20"/>
              </w:rPr>
              <w:t xml:space="preserve"> filed with the SEC on October 17, 1997), including all other amendments or reports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in this prospectus any future filings made by Innovex with the SEC under Sections 13(a), 13(c), 14, or 15(d) of the Exchange Act (excluding any information furnished and not filed with the SEC) after the date on which the registration statement that includes this prospectus was initially filed with the SEC and until all offerings under this shelf registration statement are terminated.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herein shall be deemed to be modified or superseded for all purposes to the extent that a statement contained in this prospectus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You may request a copy of these filings (other than an exhibit to a filing unless that exhibit is specifically incorporated by reference into that filing) at no cost by writing or telephoning us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Innovex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19120 Kenswick Drive </w:t>
      </w:r>
    </w:p>
    <w:p>
      <w:pPr>
        <w:pStyle w:val="TextBody"/>
        <w:bidi w:val="0"/>
        <w:spacing w:before="0" w:after="0"/>
        <w:jc w:val="center"/>
        <w:rPr>
          <w:rFonts w:ascii="Times New Roman" w:hAnsi="Times New Roman"/>
          <w:sz w:val="20"/>
        </w:rPr>
      </w:pPr>
      <w:r>
        <w:rPr>
          <w:rFonts w:ascii="Times New Roman" w:hAnsi="Times New Roman"/>
          <w:sz w:val="20"/>
        </w:rPr>
        <w:t xml:space="preserve">Humble, Texas 77338 </w:t>
      </w:r>
    </w:p>
    <w:p>
      <w:pPr>
        <w:pStyle w:val="TextBody"/>
        <w:bidi w:val="0"/>
        <w:spacing w:before="0" w:after="0"/>
        <w:jc w:val="center"/>
        <w:rPr>
          <w:rFonts w:ascii="Times New Roman" w:hAnsi="Times New Roman"/>
          <w:sz w:val="20"/>
        </w:rPr>
      </w:pPr>
      <w:r>
        <w:rPr>
          <w:rFonts w:ascii="Times New Roman" w:hAnsi="Times New Roman"/>
          <w:sz w:val="20"/>
        </w:rPr>
        <w:t xml:space="preserve">(346) 398-0000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2791_3"/>
      <w:bookmarkEnd w:id="19"/>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certain statements that may be deemed to be “forward-looking statements” within the meaning of Section 27A of the Securities Act, and Section 21E of the Exchange Act. Statements contained in all parts of this document that are not historical facts are forward-looking statements that involve risks and uncertainties that are beyond the control of the Company. You can identify the Company’s forward-looking statements by the words “anticipate,” “estimate,” “expect,” “may,” “project,” “believe” and similar expressions, or by the Company’s discussion of strategies or trends. Although the Company believes that the expectations reflected in such forward-looking statements are reasonable, no assurance can be given that these expectations will prove to be correct. These forward-looking statements include the following types of information and statements as they relate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actions taken by the Organization of Petroleum Exporting Countries and the expanded alliance (OPEC+) with respect to their production levels and the effects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Mergers (as defined herein), including the ultimate outcome and results of integrating the operations of Dril-Quip, Inc. (“Dril-Quip”) and Innovex Downhole; the effects of the business combination on Dril-Quip and Innovex Downhole, including the Company’s future financial condition, results of operations, strategy and plans; potential adverse reactions or changes to business relationships resulting from the announcement or completion of the Mergers; expected benefits from the Mergers and the ability of the Company to realize those benefits; the significant costs required to integrate operations of Dril-Quip and Innovex Downhole; whether merger-related litigation will occur and, if so, the results of any litigation, settlements and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acquisition of 1185641 B.C. LTD (d/b/a Great North Wellhead and Frac), including the risk that the benefits of the transaction may not be fully realized or may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general economic conditions, including inflationary pressures and interest rates, a general economic slowdown or recession or instability in financial institutions, on economic activity and on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operating results and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scheduled, budgeted and other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planned or estimated cost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and the availability of expected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into the market of the Company’s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deliver its bookings in a timely fashion;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the Company’s existing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develop new applications for its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exploration, development and production activities of the Company’s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present and future environmental, social, and governance (ESG) standards and regulations and costs associated with environmentally related penalties, capital expenditures, remedial actions and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pending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customers’ future product and service requirements that may not be cost effective or within the Company’s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operations, financial results, business plans and cash needs;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overall timing and level of transition of the global energy sector from fossil-based systems of energy production and consumption to more renewable energy sources.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statements are based on assumptions and analysis in light of the Company’s experience and perception of historical trends, current conditions, expected future developments and other factors the Company believes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the Company continues to face many risks and uncertainties. Among the factors that could cause actual future results to differ materially are the risks and uncertainties discussed under “Item 1A. Risk Factors” in our Annual Report on Form 10-K for the year ended December 31, 2023, as amended by Form 10-K/A filed with the SEC on July 8, 2024 and Form 10-K/A (Amendment No. 2) filed with the SEC on August 1, 2024, and our Quarterly Report on Form 10-Q/A for the period ended March 31, 2024, filed with the SEC on July 8, 2024, under “Risk Factors” in our Form S-4 to the extent incorporated by reference herein and in any accompanying prospectus supplement, in other filings made by us from time to time with the SEC or in materials incorporated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Many of such factors are beyond the Company’s ability to control or predict. Any of the factors, or a combination of these factors, could materially affect the Company’s future results of operations and the ultimate accuracy of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the Company undertakes no obligation to publicly update or revise any forward-looking statement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2791_4"/>
      <w:bookmarkEnd w:id="20"/>
      <w:r>
        <w:rPr>
          <w:rFonts w:ascii="Times New Roman" w:hAnsi="Times New Roman"/>
          <w:b/>
          <w:sz w:val="20"/>
        </w:rPr>
        <w:t xml:space="preserve">INNOVEX INTERNATIONAL, INC. </w:t>
      </w:r>
    </w:p>
    <w:p>
      <w:pPr>
        <w:pStyle w:val="TextBody"/>
        <w:bidi w:val="0"/>
        <w:spacing w:before="240" w:after="0"/>
        <w:jc w:val="left"/>
        <w:rPr>
          <w:rFonts w:ascii="Times New Roman" w:hAnsi="Times New Roman"/>
          <w:sz w:val="20"/>
        </w:rPr>
      </w:pPr>
      <w:r>
        <w:rPr>
          <w:rFonts w:ascii="Times New Roman" w:hAnsi="Times New Roman"/>
          <w:sz w:val="20"/>
        </w:rPr>
        <w:t xml:space="preserve">We are a Houston-based company established in 2024 following the merger of Dril-Quip and Innovex Downhole Solutions, Inc. Our comprehensive portfolio extends throughout the lifecycle of the well, and innovative product integration ensures seamless transitions from one well phase to the next, driving efficiency, lowering cost, and reducing the rig site service footprint for the customer. We have locations throughout North America, Latin America, Europe, the Middle East and Asia, where we provide technical expertise, conventional and innovative technologies, and customer service. Our common stock is listed on the New York Stock Exchange (“NYSE”) under the symbol “INVX.”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offices are located at 19120 Kenswick Drive, Humble, Texas 77338, and the phone number at this address is (346) 398-0000. Our website address is www.innovex-inc.com.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and does not constitute a part of, this prospectus. </w:t>
      </w:r>
    </w:p>
    <w:p>
      <w:pPr>
        <w:pStyle w:val="TextBody"/>
        <w:bidi w:val="0"/>
        <w:spacing w:before="480" w:after="0"/>
        <w:jc w:val="center"/>
        <w:rPr>
          <w:rFonts w:ascii="Times New Roman" w:hAnsi="Times New Roman"/>
          <w:b/>
          <w:sz w:val="20"/>
        </w:rPr>
      </w:pPr>
      <w:bookmarkStart w:id="21" w:name="tx32791_5"/>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included in our most recent Annual Report on Form 10-K, any subsequently filed Quarterly Reports on Form 10-Q and any subsequently filed Current Reports on Form 8-K, which are incorporated herein by reference, our Form S-4 to the extent incorporated by reference herein and those risk factors that may be included in any applicable prospectus supplement, together with all the other information included in this prospectus, any prospectus supplement and the documents we incorporate by reference, in evaluating an investment in our securities. If any of these risks were to occur, our business, financial condition or results of operations could be adversely affected. </w:t>
      </w:r>
    </w:p>
    <w:p>
      <w:pPr>
        <w:pStyle w:val="TextBody"/>
        <w:bidi w:val="0"/>
        <w:spacing w:before="480" w:after="0"/>
        <w:jc w:val="center"/>
        <w:rPr>
          <w:rFonts w:ascii="Times New Roman" w:hAnsi="Times New Roman"/>
          <w:b/>
          <w:sz w:val="20"/>
        </w:rPr>
      </w:pPr>
      <w:bookmarkStart w:id="22" w:name="tx32791_6"/>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covered by this prospectus are being offered and sold by the selling stockholders identified in this prospectus. We will not receive any proceeds from the sale of the common stock by the selling stockholders. See “Selling Stockholders” and “Plan of Distribution”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2791_7"/>
      <w:bookmarkEnd w:id="23"/>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prospectus to allow the selling stockholders identified below to offer and sell from time to time up to an aggregate of 29,369,822 shares of our common stock for their own account, which were issued to the selling stockholders at the closing of the Mergers and are subject to the Lock-Up Restrictions (as defined below). Pursuant to that certain Agreement and Plan of Merger, dated as of March 18, 2024, by and among Dril-Quip, Innovex Downhole, Ironman Merger Sub, Inc. (“Merger Sub Inc.”) and DQ Merger Sub, LLC (“Merger Sub LLC”) (i) Merger Sub Inc. merged with and into Innovex Downhole, with Innovex Downhole continuing as the surviving company (the “First Merger” and the surviving company, the “Surviving Corporation”), and (ii) immediately following the first merger, the Surviving Corporation merged with and into Merger Sub LLC, with Merger Sub LLC surviving the merger as a direct wholly owned subsidiary of Dril-Quip (the “Second Merger” and, together with the first merger, the “Mergers”). Immediately following the consummation of the Mergers, Dril-Quip changed its name to “Innovex International, Inc.” At the closing of the Mergers on September 6, 2024, we entered into a registration rights agreement with the selling stockholders (the “Registration Rights Agreement”), pursuant to which we agreed, as soon as practicable following the closing of the Mergers, but in no event later than 10 business days after the date of the Registration Rights Agreement, to file with the SEC, and use our reasonable best efforts to cause to be declared effective, a shelf registration statement to permit the public resale of all of the “Registrable Securities” (as such term is defined in the Registration Rights Agreement) in accordance with the terms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subject to the termination provisions discussed below, to use our reasonable best efforts to keep such registration statement continuously effective, supplemented and amended (or file a new shelf registration statement, if applicable, upon expiration of the preceding shelf registration statement) until such time as all Registrable Securities outstanding covered by the registration statement have ceased to be Registrable Securities. The Registration Rights Agreement and our obligations to keep the shelf registration statement effective will terminate as to any selling stockholder when all Registrable Securities held by such selling stockholder no longer constitute Registrable Securities. Under the Registration Rights Agreement, the selling stockholders may request to sell all or a portion of their shares issued in the Mergers in (i) an underwritten offering that is registered pursuant to a registration statement; provided, however, that the selling stockholders are entitled to make a demand for a total of (x) six underwritten offerings in the aggregate or two underwritten offerings during any 12-month period (and no more than one underwritten offering in any 90-day period, subject to certain exceptions) and only if the aggregate value of Registrable Securities to be included in such offering is at least $30 million or (ii) an underwritten registered offering requiring our involvement and of the type which is commonly known as a “block trade,” “overnight offering” or “bought deal” (a “Block Trade”) if the gross proceeds from the Block Trade are expected to be at least $15 million.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restricted from selling or transferring any of the shares registered hereunder for a period of 180 days from the closing of the Merger without our prior written consent (the “Lock-Up Restrictions”).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prospectus and the registration statement of which it is a part to comply with our registration obligations under the Registration Rights Agreement with respect to the 29,369,822 shares of our common stock issued in the Mergers and beneficially owned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we will pay all expenses relating to the registration and offering of these shares, except that the selling stockholders will pay any underwriting discounts, selling commissions and stock transfer taxes and (subject to certain exceptions) fees and disbursements of counsel for any selling stockholders. Pursuant to the terms of the registration rights agreement, we agreed to indemnify the selling stockholders against certain liabilities, including liabilities under the Securities Act, and the selling stockholders have agreed to indemnify us against certain liabilities, including liabilities under the Securities Act, which may arise from any written information furnished to us by the selling stockholders expressly for use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maximum number of shares of our common stock that may be sold by the selling stockholders under the registration statement of which this prospectus forms a part. For purposes of the table below, we assume that the selling stockholders will sell all of their shares of common stock covered by this prospectus. We cannot predict when or in what amount the selling stockholders may sell any of the shares offered by the selling stockholders in this prospectus, if at all. The table also sets forth the name of each selling stockholder, the nature of any position, office or other material relationship which each selling stockholder has had, within the past three years, with us or with any of our predecessors or affiliates, and the number of shares of our common stock to be owned by each selling stockholder after completion of the offering. None of the selling stockholders are a broker-dealer registered under Section 15 of the Exchange Act or an affiliate of a broker-dealer registered under Section 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prepared the table based on information provided to us by the selling stockholders. We have not sought to verify such information. Additionally, the selling stockholders may have sold or transferred some or all of their shares of our common stock in transactions exempt from the registration requirements of the Securities Act since the date on which the information in the table was provided to us. Other information about the selling stockholders may also change over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07"/>
        <w:gridCol w:w="198"/>
        <w:gridCol w:w="60"/>
        <w:gridCol w:w="1100"/>
        <w:gridCol w:w="60"/>
        <w:gridCol w:w="198"/>
        <w:gridCol w:w="105"/>
        <w:gridCol w:w="774"/>
        <w:gridCol w:w="275"/>
        <w:gridCol w:w="143"/>
        <w:gridCol w:w="82"/>
        <w:gridCol w:w="1524"/>
        <w:gridCol w:w="60"/>
        <w:gridCol w:w="198"/>
        <w:gridCol w:w="119"/>
        <w:gridCol w:w="761"/>
        <w:gridCol w:w="68"/>
        <w:gridCol w:w="212"/>
        <w:gridCol w:w="118"/>
        <w:gridCol w:w="762"/>
        <w:gridCol w:w="281"/>
      </w:tblGrid>
      <w:tr>
        <w:trPr/>
        <w:tc>
          <w:tcPr>
            <w:tcW w:w="3107"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10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2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 Beneficially</w:t>
              <w:br/>
              <w:t>Owned Prior to the</w:t>
              <w:br/>
              <w:t>Offering(1)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Being Offered</w:t>
              <w:br/>
              <w:t>Hereby</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0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 Owned</w:t>
              <w:br/>
              <w:t>After Completion</w:t>
              <w:br/>
              <w:t>of the Offering(2)</w:t>
            </w:r>
          </w:p>
        </w:tc>
        <w:tc>
          <w:tcPr>
            <w:tcW w:w="281" w:type="dxa"/>
            <w:tcBorders/>
            <w:vAlign w:val="bottom"/>
          </w:tcPr>
          <w:p>
            <w:pPr>
              <w:pStyle w:val="TableContents"/>
              <w:bidi w:val="0"/>
              <w:spacing w:before="0" w:after="283"/>
              <w:jc w:val="left"/>
              <w:rPr/>
            </w:pPr>
            <w:r>
              <w:rPr/>
              <w:t> </w:t>
            </w:r>
          </w:p>
        </w:tc>
      </w:tr>
      <w:tr>
        <w:trPr/>
        <w:tc>
          <w:tcPr>
            <w:tcW w:w="31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Stockholders</w:t>
            </w:r>
          </w:p>
        </w:tc>
        <w:tc>
          <w:tcPr>
            <w:tcW w:w="198"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Percent(3)</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Percent(3)</w:t>
            </w:r>
          </w:p>
        </w:tc>
        <w:tc>
          <w:tcPr>
            <w:tcW w:w="281" w:type="dxa"/>
            <w:tcBorders/>
            <w:vAlign w:val="bottom"/>
          </w:tcPr>
          <w:p>
            <w:pPr>
              <w:pStyle w:val="TableContents"/>
              <w:bidi w:val="0"/>
              <w:spacing w:before="0" w:after="283"/>
              <w:jc w:val="left"/>
              <w:rPr/>
            </w:pPr>
            <w:r>
              <w:rPr/>
              <w:t> </w:t>
            </w:r>
          </w:p>
        </w:tc>
      </w:tr>
      <w:tr>
        <w:trPr/>
        <w:tc>
          <w:tcPr>
            <w:tcW w:w="3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affiliated with Amberjack Capital Partners, L.P.(4)</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29,369,822</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44.1</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29,369,822</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31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29,369,822</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44.1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29,369,822</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pursuant to which a person is deemed to be a “beneficial owner” of a security if that person has or shares voting power, which includes the power to vote or direct the voting of such security, or investment power, which includes the power to dispose of or to direct the disposition of such security. Under these rules, more than one person may be deemed a beneficial owner of the same securities, and a person may be deemed a beneficial owner of securities as to which such person has no economic interest. Except as otherwise indicated in these footnotes, each of the beneficial owners has, to our knowledge, sole voting and investment power with respect to the indicated shares of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selling stockholders dispose of all of the shares of common stock covered by this prospectus and do not acquire beneficial ownership of any additional shares of our common stock held by the selling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beneficial ownership is based upon 66,636,196 shares of common stock outstanding as of September 16, 2024. Because the selling stockholders are not obligated to sell any portion of the shares of our common stock shown as offered by them, we cannot estimate the actual number or percentage of shares of our common stock that will be held by the selling stockholders upon completion of this offering. However, for purposes of this table, we have assumed that, after completion of the offering, none of the shares covered by this prospectus will be held by the selling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21,773,618 shares of common stock held directly by Amberjack Capital Fund II, L.P.; (ii) 5,083,965 shares of common stock held directly by Innovex Co-Invest Fund II, L.P.; (iii) 1,204,903 shares of common stock held directly by Innovex Co-Invest Fund, L.P.; (iv) 1,039,364 shares of common stock held directly by Intervale Capital Fund II, L.P.; (v) 515 shares of common stock held directly by Intervale Capital Fund II-A, L.P.; and (vi) 267,457 shares of common stock held directly by Intervale Capital Fund III, L.P. Funds affiliated with Amberjack Capital Partners, L.P. (“Amberjack Capital Partners” or “Amberjack”) are our principal stockholders (referred to in this prospectus as the “Amberjack Funds”). The general partner of (i) Amberjack Capital Fund II, L.P. is Amberjack Capital GP II, L.P., and the general partner of such general partner is Amberjack Capital Associates II, LLC, (ii) Innovex Co-Invest Fund II,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L.P. is Innovex Co-Invest Fund II GP, L.P., and the general partner of such general partner is Innovex Co-Invest Associates, LLC, (iii) Innovex Co-Invest Fund, L.P. is Innovex Co-Invest Fund GP, L.P., and the general partner of such general partner is Innovex Co-Invest Associates, LLC, (iv) Intervale Capital Fund II, L.P. is Intervale Capital GP II, L.P., and the general partner of such general partner is Intervale Capital Associates II, LLC, (v) Intervale Capital Fund II-A, L.P. is Intervale Capital GP II, L.P., and the general partner of such general partner is Intervale Capital Associates II, LLC, and (vi) Intervale Capital Fund III, L.P. is Intervale Capital GP III, L.P., and the general partner of such general partner is Intervale Capital Associates III, LLC. By virtue of their relationships, the foregoing general partners control all voting and dispositive power over the reported shares held by such Amberjack Fund and therefore may be deemed to be the beneficial owner of such shares. The members of Amberjack Capital Associates II, LLC, Innovex Co-Invest Associates, LLC, Intervale Capital Associates II, LLC and Intervale Capital Associates III, LLC are W. Patrick Connelly and Jason Turowsky. Amberjack Capital Partners is the investment advisor of the Amberjack Funds and the general partner of Amberjack Capital Partners is Amberjack Management, LLC (“Amberjack Management”). In its role as investment advisor, Amberjack Capital Partners controls all voting and dispositive power over the reported shares held by all the Amberjack Funds and therefore may be deemed to be the beneficial owner of such shares. The address of the Amberjack Funds, Amberjack Capital Partners, Amberjack Management and the other general partners identified above is 1021 Main Street, Suite 1100, Houston, Texas 77002. Mr. Connelly and Mr. Turowsky are co-managing partners of Amberjack Management. The address of Mr. Connelly and Mr. Turowsky is 1021 Main Street, Suite 1100, Houston, Texas 77002. Mr. Connelly and Mr. Turowsky disclaim beneficial ownership of such securities in excess of their pecuniary interests in the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2791_8"/>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terms of our capital stock as contained in our restated certificate of incorporation, as amended by that certain certificate of amendment dated as of September 6, 2024 (our “certificate of incorporation”), and our amended and restated bylaws, as amended by that certain amendment dated as of September 6, 2024 (our “bylaws”), and does not purport to be complete and is qualified in its entirety by reference to the provisions of applicable law, to our certificate of incorporation and to our bylaws, which are filed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$0.01 per share, of which 66,636,196 shares were issued and outstanding as of September 16, 2024, and 10,000,000 shares of preferred stock, par value $0.01 per share, of which none were issued and outstanding as of September 16, 2024.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entitles the holder to one vote on all matters on which holders are permitted to vote, including the election of directors. There are no cumulative voting rights. Accordingly, holders of a majority of the total votes entitled to vote in an election of directors will be able to elect all of the directors standing for election. Subject to preferences that may be applicable to any outstanding preferred stock, the holders of the common stock will share equally on a per share basis any dividends when, as and if declared by the board of directors out of funds legally available for that purpose. If we are liquidated, dissolved or wound up, the holders of our common stock will be entitled to a ratable share of any distribution to stockholders, after satisfaction of all of our liabilities and of the prior rights of any outstanding class of our preferred stock. Our common stock has no preemptive or conversion rights or other subscription rights. There are no redemption or sinking fund provisions applicable to our common stock. All outstanding shares of our common stock are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our board of directors has the authority, without stockholder approval, to issue shares of preferred stock from time to time in one or more series, and to fix the number of shares and terms of each such series. The board may determine the designation and other terms of each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while providing us with flexibility in connection with possible acquisitions and other transactions, could adversely affect the voting power of holders of our common stock. It could also affect the likelihood that holders of our common stock will receive dividend payments and payments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shares of preferred stock, or the issuance of rights to purchase shares of preferred stock, could be used to discourage an attempt to obtain control of our company. For example, if, in the exercise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fiduciary obligations, our board of directors were to determine that a takeover proposal was not in the best interest of our stockholders, the board could authorize the issuance of a series of preferred stock containing class voting rights that would enable the holder or holders of this series to prevent a change of control transaction or make it more difficult. Alternatively, a change of control transaction deemed by the board to be in the best interest of our stockholders could be facilitated by issuing a series of preferred stock having sufficient voting rights to provide a required percentage vote of the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Certificate of Incorporation and Our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certificate of incorporation and our bylaws, as described below, could have the effect of delaying, deterring or preventing another party from acquiring or seeking to acquire control of us. These provisions are intended to discourage certain types of coercive takeover practices and inadequate takeover bids and to encourage anyone seeking to acquire control of us to negotiate first with our board of directors. However, these provisions may also delay, deter or prevent a change in control or other takeover of Innovex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Election and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must consist of between three and 12 directors. The exact number of directors is fixed from time to time by a majority of the directors then in office. Our board of directors is divided into three classes serving staggered three-year terms, with only one class being elected each year by our stockholders. At each annual meeting of stockholders, directors will be elected to succeed the class of directors whose terms have expired. This system of electing and removing directors may discourage a third party from making a tender offer or otherwise attempting to obtain control of us because it generally makes it more difficult for stockholders to replace a majority of the directors. In addition, no director may be removed except for cause, and directors may be removed for cause only by the affirmative vote of shares representing a majority of the shares then entitled to vote at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vacancy occurring on the board of directors and any newly created directorship may only be filled by the affirmative vote of a majority of the remaining directors in office.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that special meetings of our stockholders may be called only by the chairman of our board of directors, the chief executive officer, the president or the board pursuant to a resolution approved by the affirmative vote of a majority of the entire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any action required or permitted to be taken by the stockholders of our company must be effected at an annual or special meeting of stockholders and may not be effected by any consent in writing by such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may generally be altered, amended or repealed, and new bylaws may be adopted,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subject to the right of stockholders to amend or repeal such bylaws;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holders of at least two-thirds of the combined voting power of the outstanding shares of all classes of our stock entitled to vote generally in the election of directors, voting together as a single class, at any annual meeting, or at any special meeting if notice of the proposed amendment is contained in the notice of the special meeting.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Limitations on Stockholder Actions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also impose some procedural requirements on stockholders who wish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nominations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that a director be removed;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repeal or change in our bylaws;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other business to be brought before an annual or special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these procedural requirements, in order to bring a proposal before a meeting of stockholders, a stockholder must deliver timely notice of a proposal pertaining to a proper subject for presentation at the meeting to our corporate secretary along with the information required under our bylaws,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business or nomination to be brought before the meeting and the reasons for conducting such business at the meeting, together with the text of the proposal (including the text of any resolution proposed for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and addresses of any other stockholder known by such stockholder to be supporting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Disclosable Interests (as defined in our bylaws) of such stockholder or such beneficial owner, if any, or any proposed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financial interest or other material interest of such stockholder and beneficial owner, if any, in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such stockholder intends to appear in person or by proxy at the meeting to bring the proposed business before the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all agreements, arrangements and understandings between such stockholder and beneficial owner, if any, and any other person or persons (including their names) in connection with such proposal by such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providing notice of business proposed to be brought before a meeting shall further update and supplement such notice, if necessary, so that the information provided or required to be provided in such notice shall be true and correct as of the record date for the meeting and as of the date that is ten business days prior to the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To be timely, a stockholder’s notice must generally be delivered to, or mailed and received at, our principal executive offices: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an annual meeting of stockholders, not later than the close of the business on the 90th day prior to the first anniversary of the preceding year’s annual meeting; provided however, that in the event that the date of such annual meeting is more than 30 days before or more than 60 days after such anniversary date, a stockholder notice will be timely if received by us not later than the close of business on the later of (1) the 90th day prior to the annual meeting and (2) the 10th day following the day on which we first publicly announce the date of the annual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election of a director at a special meeting of stockholders, not later than the close of business on the 10th day following the day on which notice of the date of the special meeting was mailed to the stockholders or public disclosure of the date of the special meeting was made, whichever occurs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 on Liability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no director will be personally liable to us or our stockholders for monetary damages for breach of fiduciary duties as a director, except as required by applicable law, as in effect from time to time. Currently, Delaware law requires that liability be imposed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which involved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Delaware General Corporation Law (the “DGCL”);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to the fullest extent permitted by the DGCL, we will indemnify any of our officers and directors against all expense, liability and loss (including attorneys’ fees, judgments, fines, ERISA excise taxes, penalties and amounts paid in settlement) reasonably incurred or suffered arising out of the fact that the person is or was our director or officer, or served any other enterprise at our request as a director, officer, employee, agent or fiduciary. We will advance the expenses, including attorneys’ fees, incurred by a person indemnified by this provision when we receive an undertaking to repay such amounts if it is ultimately determined that the person is not entitled to be indemnified by us.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and Corporate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approve certain transactions involving related persons, our certificate of incorporation requires the affirmative vote of the holders of (1) not less than 80% of the then outstanding voting stock held by stockholders voting together as a single class and (2) not less than 66 2/3% of the then outstanding voting stock not beneficially owned, directly or indirectly, by the related person. These transactions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or share exchange of us or any of our subsidiaries with (1) any related person or (2) any other person who is, or after such merger, consolidation, or share exchange would be, directly or indirectly an affiliate of the related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mortgage, pledge, transfer or other disposition by us or any of our subsidiaries to any related person or an affiliate of a related person or by any related person or an affiliate of a related person to us or any of our subsidiaries, of any assets or properties having an aggregate fair market value of $10,000,000 or more;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issuance or transfer by us or any of our subsidiaries of any of our securities or any of our subsidiaries’ securities to any related person or an affiliate of a related person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dissolution voluntarily caused or proposed by or on behalf of a related person or an affiliate of a related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reclassification of securities or recapitalization of us, or any merger, consolidation or share exchange of us with any of our subsidiaries or any other transaction that has the effect, either directly or indirectly, of increasing by more than 1% the proportionate share of the outstanding stock of any class or series or the securities convertible into stock of any class or series of us or any of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that is directly or indirectly owned by any related person or an affiliate of a related person or otherwise increasing the voting power of the outstanding stock of us or any of our subsidiaries that is held by any such related person or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series or combination of transactions having, directly or indirectly, the same effect as any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agreement, contract, or other arrangement providing, directly or indirectly, for any of the foregoing transactions mentioned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related person is a person or entity who or which (1) is the beneficial owner of 10% or more of the aggregate voting power of all of our outstanding stock; (2) is one of our affiliates and at any time within the two-year period immediately prior to the date in question was the beneficial owner of 10% or more of the aggregate voting power of all of our outstanding stock; or (3) is an assignee of or has otherwise succeeded to any shares of our stock that were at any time within the two-year period immediately prior to the date in question beneficially owned by any related person, if such assignment or succession shall have occurred in the course of a privately negotiated transaction rather than an open market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voting requirements do not apply, however, to a business combination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property, securities or other consideration to be received per share by holders of each and every outstanding class or series of our shares in the business combination meets certain requirements;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continuing directors shall have approved the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Stockholders’ Agreement, dated as of September 6, 2024, by and among the Company, Amberjack and the selling stockholders, we have agreed, to the fullest extent permitted by the DGCL and subject to applicable legal requirements and any express agreement, that the Amberjack Funds and their respective affiliates and each Amberjack board designee that is also a director, officer, employee or other representative of Amberjack (collectively, the “Covered Persons”) may, and has no duty not to, (i) invest in, carry on and conduct any business of any kind, nature or description, whether or not such business is competitive with or in the same or similar lines of business as us or any of our subsidiaries, (ii) do business with any client, customer, vendor or lessor of any of us or our affiliates, and/or (iii) make investments in any kind of property in which we or our subsidiaries may make investments. In addition, to the fullest extent permitted by the DGCL or any other applicable law, we have renounce any interest or expectancy to participate in any business, business opportunity, transaction, investment or other matter of any Covered Person as currently conducted or as may be conducted in the future, and waives any claim against a Covered Person and shall indemnify a Covered Person against any claim that such Covered Person is liable to us or our stockholders for breach of any fiduciary duty or otherwise solely by reason of such Covered Person’s participation in, or failure to offer or communicate to us, its subsidiaries or any controlled affiliates any information regarding, any such business opportunity.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a Delaware corporation and are subject to Section 203 of the DGCL. Section 203 provides that we may not engage in a broad range of “business combinations” with any “interested stockholder” for a three-year period following the time that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time that person became an interested stockholder, our board of directors had approved either the business combination or the transaction that resulted in the person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person becoming an interested stockholder, that person owned at least 85% of our voting stock outstanding at the time the transaction commenced, excluding shares owned by persons who are directors and also officers and shares owned in employee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plans in which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time that person became an interested stockholder, the business combination is approved by our board of directors and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consolidation,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203 could prohibit or delay mergers or other takeover or change in control attempts with respect to us and, accordingly, may discourage attempts to acquire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Provision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forum, the exclusive forum for (1) any derivative action or proceeding brought on our behalf, (2) any action asserting a claim of breach of a fiduciary duty owed by any current or former director, officer, other employee or stockholder to us or our stockholders, (3) any action asserting a claim arising pursuant to any provision of the DGCL, our certificate of incorporation or our bylaws or as to which the DGCL confers jurisdiction on the Court of Chancery of the State of Delaware or (4) any action asserting a claim governed by the internal affairs doctrine of the law of the State of Delaware shall, to the fullest extent permitted by law, be the Court of Chancery of the State of Delaware (or, if the Court of Chancery does not have subject matter jurisdiction thereof, the federal district court for the District of Delaware). Our bylaws also provide that, unless we consent in writing to the selection of an alternative forum, the federal district courts of the United States will be the exclusive forum for resolving any complaint asserting a cause of action arising under the Securities Act. This provision will not apply to any claims seeking to enforce any duty or liability created by the Exchange Act. Any person or entity purchasing or otherwise acquiring or holding any interest in shares of our capital stock is deemed to have notice of and consented to the these provisions of our bylaws. These provisions may limit a stockholder’s ability to bring a claim in a judicial forum that it finds favorable for disputes with us or our directors, officers or other employees, which may discourage such lawsuits against us and our directors, officers and other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Shareowner Services LLC is the transfer agent and registrar for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2791_9"/>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transfer or otherwise dispose of any or all of the common stock offered by this prospectus or any applicable prospectus supplement on any stock exchange, market or trading facility on which such common stock is traded or in private transactions. These dispositions may be at fixed prices, at prevailing market prices at the time of sale, at prices related to the prevailing market price, at varying prices determined at the time of sale or at negotiated prices. These prices will be determined by the selling stockholders or by agreement between the selling stockholders and underwriters, broker-dealers or agents who may receive fees or commissions in connection with any such sale.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the offered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on the NYSE or any national securities exchange or quotation service on which our common stock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sale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common stock as agent, but may position and resell a portion of the block as principal to facilitate the transaction, or in crosses in which the same broker acts as agent on both sides;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and/or secondary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to cover short sales effected after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to sell a specified number of such common stock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distributions of the shares by the selling stockholders to their respective general or limited partners, members, managers affiliates, employees, directors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option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elect to make an in-kind distribution of its shares of common stock to their respective members, partners or stockholders. To the extent that such members, partners or stockholders are not affiliates of ours, such members, partners or stockholders would thereby receive freely tradeable shares of our common stock pursuant to the distribution through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stockholders may also sell the shares of common stock under Rule 144 or any other exemption from registration under the Securities Act, if, when and to the extent such exemption is available to them at the time of such sale, rather than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common stock, from the purchaser) in amounts to be negotiated, but, except as set forth in a supplement to this prospectus, in the case of an agency transaction not in excess of a customary brokerage commission in compliance with Financial Industry Regulatory Authority (“FINRA”) Rule 5110; and in the case of a principal transaction a markup or markdown in compliance with FINRA Rule 2121.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common stock, the selling stockholders may enter into hedging transactions with broker-dealers or other financial institutions, which may in turn engage in short sales of the common stock in the course of hedging the positions they assume. The selling stockholders may also sell common stock short and deliver these shares to close out its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common stock from time to time under this prospectus, or, to the extent required under the applicable securities laws, under an amendment to this prospectus under Rule 424 or other applicable provision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the selling stockholders use one or more underwriters in the sale, the underwriters will acquire the securities for their own account, and they may resell these securities from time to time in one or more transactions, including negotiated transactions, at a fixed public offering price or at varying prices determined at the time of sale. The securities may be offered and sold to the public either through underwriting syndicates represented by one or more managing underwriters or directly by one or more of such firms. The selling stockholders and any underwriters, broker-dealers or agents that are involved in selling the securities may be deemed to be “underwriters” within the meaning of the Securities Act in connection with such sales. The securities may be offered and sold to the public either through underwriting syndicates represented by one or more managing underwriters or directly by one or more of such firms. In such event, any commissions received by such underwriters, broker-dealers or agents and any profit on the resale of the shares of common stock purchased by them may be deemed to be underwriting commissions or discounts under the Securities Act. Underwriters may resell the shares to or through dealers, and those dealers may receive compensation in the form of one or more discounts, concessions or commissions from the underwriters and commissions from purchasers for which they may act as agents. The selling stockholders have informed us that they do not have any written or oral agreement or understanding, directly or indirectly, with any person to distribute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we will pay all expenses relating to the registration and offering of these shares, except that the selling stockholders will pay underwriting discounts, selling commissions and stock transfer taxes and (subject to certain exceptions) fees and disbursements of counsel for any selling stockholders. Pursuant to the terms of the Registration Rights Agreement, we agreed to indemnify the selling stockholders against certain liabilities, including liabilities under the Securities Act, and the selling stockholders have agreed to indemnify us against certain liabilities, including liabilities under the Securities Act, which may arise from any written information furnished to us by the selling stockholders expressly for use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resale shares of common stock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assurances that the selling stockholders will sell, and the selling stockholders are not required to sell, any or all of the securities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and/or supplemented from time to time to describe a specific plan of distribution. If required, we may add transferees, successors and donees by prospectus supplement in instances where the transferee, successor or donee has acquired its shares from holders named in this prospectus after the effective date of this prospectus. Transferees, successors and donees of the selling stockholders may not be able to use this prospectus for resales until they are named in the selling stockholders table by prospectus supplement or post-effective amendment. See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2791_10"/>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being offered by this prospectus will be passed upon for us by Akin Gump Strauss Hauer &amp; Feld LLP, Houston, Texas, our outside legal counsel.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27" w:name="tx32791_11"/>
      <w:bookmarkEnd w:id="27"/>
      <w:r>
        <w:rPr>
          <w:rFonts w:ascii="Times New Roman" w:hAnsi="Times New Roman"/>
          <w:b/>
          <w:sz w:val="20"/>
        </w:rPr>
        <w:t xml:space="preserve">EXPERTS </w:t>
      </w:r>
    </w:p>
    <w:p>
      <w:pPr>
        <w:pStyle w:val="TextBody"/>
        <w:bidi w:val="0"/>
        <w:spacing w:before="240" w:after="0"/>
        <w:jc w:val="left"/>
        <w:rPr>
          <w:rFonts w:ascii="Times New Roman" w:hAnsi="Times New Roman"/>
          <w:b/>
          <w:i/>
          <w:sz w:val="20"/>
        </w:rPr>
      </w:pPr>
      <w:r>
        <w:rPr>
          <w:rFonts w:ascii="Times New Roman" w:hAnsi="Times New Roman"/>
          <w:b/>
          <w:i/>
          <w:sz w:val="20"/>
        </w:rPr>
        <w:t xml:space="preserve">Dril-Quip, Inc.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Dril-Quip’s Annual Report on Form 10-K/A for the year ended December 31, 2023 have been so incorporated in reliance on the report (which contains an explanatory paragraph relating to Dril-Quip’s restatement of its financial statements as described in Note 21 to the financial statements, an adverse opinion on the effectiveness of Dril-Quip’s internal control over financial reporting and an explanatory paragraph related to the exclusion of Great North from Management’s assessment of internal control over financial reporting as of December 31, 2023, because it was acquired by Dril-Quip in a purchase business combination during 2023) of PricewaterhouseCoopers LLP, an independent registered public accounting firm, given on the authority of said firm as experts in auditing and accounting.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Innovex Downhole Solutions, Inc. </w:t>
      </w:r>
    </w:p>
    <w:p>
      <w:pPr>
        <w:pStyle w:val="TextBody"/>
        <w:bidi w:val="0"/>
        <w:spacing w:before="120" w:after="0"/>
        <w:jc w:val="left"/>
        <w:rPr>
          <w:rFonts w:ascii="Times New Roman" w:hAnsi="Times New Roman"/>
          <w:sz w:val="20"/>
        </w:rPr>
      </w:pPr>
      <w:r>
        <w:rPr>
          <w:rFonts w:ascii="Times New Roman" w:hAnsi="Times New Roman"/>
          <w:sz w:val="20"/>
        </w:rPr>
        <w:t xml:space="preserve">The audited financial statements of Innovex Downhole Solutions, Inc. incorporated by reference in this prospectus and elsewhere in this registration statement have been so incorporated by reference in reliance upon the report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5295" cy="6769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2"/>
                    <a:stretch>
                      <a:fillRect/>
                    </a:stretch>
                  </pic:blipFill>
                  <pic:spPr bwMode="auto">
                    <a:xfrm>
                      <a:off x="0" y="0"/>
                      <a:ext cx="2995295" cy="6769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Innovex International, Inc. </w:t>
      </w:r>
    </w:p>
    <w:p>
      <w:pPr>
        <w:pStyle w:val="TextBody"/>
        <w:bidi w:val="0"/>
        <w:spacing w:before="7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0" w:after="0"/>
        <w:jc w:val="center"/>
        <w:rPr>
          <w:rFonts w:ascii="Times New Roman" w:hAnsi="Times New Roman"/>
          <w:b/>
          <w:sz w:val="28"/>
        </w:rPr>
      </w:pPr>
      <w:r>
        <w:rPr>
          <w:rFonts w:ascii="Times New Roman" w:hAnsi="Times New Roman"/>
          <w:b/>
          <w:sz w:val="28"/>
        </w:rPr>
        <w:t xml:space="preserve">Barclays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300" w:after="0"/>
        <w:jc w:val="center"/>
        <w:rPr>
          <w:rFonts w:ascii="Times New Roman" w:hAnsi="Times New Roman"/>
          <w:b/>
          <w:sz w:val="20"/>
        </w:rPr>
      </w:pPr>
      <w:r>
        <w:rPr>
          <w:rFonts w:ascii="Times New Roman" w:hAnsi="Times New Roman"/>
          <w:b/>
          <w:sz w:val="20"/>
        </w:rPr>
        <w:t xml:space="preserve">August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42893/000119312526067228/invx-20251231.htm" TargetMode="External"/><Relationship Id="rId4" Type="http://schemas.openxmlformats.org/officeDocument/2006/relationships/hyperlink" Target="http://www.sec.gov/Archives/edgar/data/../../../ix?doc=/Archives/edgar/data/1042893/000119312526129169/invx-20260327.htm" TargetMode="External"/><Relationship Id="rId5" Type="http://schemas.openxmlformats.org/officeDocument/2006/relationships/hyperlink" Target="http://www.sec.gov/Archives/edgar/data/../../../ix?doc=/Archives/edgar/data/1042893/000119312526206528/invx-20260331.htm" TargetMode="External"/><Relationship Id="rId6" Type="http://schemas.openxmlformats.org/officeDocument/2006/relationships/hyperlink" Target="http://www.sec.gov/Archives/edgar/data/../../../ix?doc=/Archives/edgar/data/1042893/000119312526332959/invx-20260630.htm" TargetMode="External"/><Relationship Id="rId7" Type="http://schemas.openxmlformats.org/officeDocument/2006/relationships/hyperlink" Target="http://www.sec.gov/Archives/edgar/data/../../../ix?doc=/Archives/edgar/data/1042893/000119312526082802/invx-20260225.htm" TargetMode="External"/><Relationship Id="rId8" Type="http://schemas.openxmlformats.org/officeDocument/2006/relationships/hyperlink" Target="http://www.sec.gov/Archives/edgar/data/../../../ix?doc=/Archives/edgar/data/1042893/000119312526102394/invx-20260305.htm" TargetMode="External"/><Relationship Id="rId9" Type="http://schemas.openxmlformats.org/officeDocument/2006/relationships/hyperlink" Target="http://www.sec.gov/Archives/edgar/data/../../../ix?doc=/Archives/edgar/data/1042893/000119312526216895/invx-20260507.htm" TargetMode="External"/><Relationship Id="rId10" Type="http://schemas.openxmlformats.org/officeDocument/2006/relationships/hyperlink" Target="http://www.sec.gov/Archives/edgar/data/../../../ix?doc=/Archives/edgar/data/0001042893/000119312526270295/invx-20260615.htm" TargetMode="External"/><Relationship Id="rId11" Type="http://schemas.openxmlformats.org/officeDocument/2006/relationships/hyperlink" Target="http://www.sec.gov/Archives/edgar/data/../../../ix?doc=/Archives/edgar/data/1042893/000119312526292774/invx-20260615.htm" TargetMode="External"/><Relationship Id="rId12" Type="http://schemas.openxmlformats.org/officeDocument/2006/relationships/hyperlink" Target="http://www.sec.gov/Archives/edgar/data/1042893/000095017025031003/invx-ex4_2.htm" TargetMode="External"/><Relationship Id="rId13" Type="http://schemas.openxmlformats.org/officeDocument/2006/relationships/hyperlink" Target="http://www.sec.gov/Archives/edgar/data/1042893/0000899243-97-001988.txt"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1042893/000095017024020662/drq-20231231.htm" TargetMode="External"/><Relationship Id="rId16" Type="http://schemas.openxmlformats.org/officeDocument/2006/relationships/hyperlink" Target="http://www.sec.gov/Archives/edgar/data/../../../ix?doc=/Archives/edgar/data/1042893/000095017024082104/drq-20231231.htm" TargetMode="External"/><Relationship Id="rId17" Type="http://schemas.openxmlformats.org/officeDocument/2006/relationships/hyperlink" Target="http://www.sec.gov/Archives/edgar/data/../../../ix?doc=/Archives/edgar/data/1042893/000095017024089302/drq-20231231.htm" TargetMode="External"/><Relationship Id="rId18" Type="http://schemas.openxmlformats.org/officeDocument/2006/relationships/hyperlink" Target="http://www.sec.gov/Archives/edgar/data/../../../ix?doc=/Archives/edgar/data/1042893/000095017024052065/drq-20240331.htm" TargetMode="External"/><Relationship Id="rId19" Type="http://schemas.openxmlformats.org/officeDocument/2006/relationships/hyperlink" Target="http://www.sec.gov/Archives/edgar/data/../../../ix?doc=/Archives/edgar/data/1042893/000095017024082111/drq-20240331.htm" TargetMode="External"/><Relationship Id="rId20" Type="http://schemas.openxmlformats.org/officeDocument/2006/relationships/hyperlink" Target="http://www.sec.gov/Archives/edgar/data/../../../ix?doc=/Archives/edgar/data/1042893/000095017024092740/drq-20240630.htm" TargetMode="External"/><Relationship Id="rId21" Type="http://schemas.openxmlformats.org/officeDocument/2006/relationships/hyperlink" Target="http://www.sec.gov/Archives/edgar/data/../../../ix?doc=/Archives/edgar/data/1042893/000119312524070265/d803484d8k.htm" TargetMode="External"/><Relationship Id="rId22" Type="http://schemas.openxmlformats.org/officeDocument/2006/relationships/hyperlink" Target="http://www.sec.gov/Archives/edgar/data/../../../ix?doc=/Archives/edgar/data/1042893/000119312524133417/d778199d8k.htm" TargetMode="External"/><Relationship Id="rId23" Type="http://schemas.openxmlformats.org/officeDocument/2006/relationships/hyperlink" Target="http://www.sec.gov/Archives/edgar/data/../../../ix?doc=/Archives/edgar/data/1042893/000119312524133801/d834826d8k.htm" TargetMode="External"/><Relationship Id="rId24" Type="http://schemas.openxmlformats.org/officeDocument/2006/relationships/hyperlink" Target="http://www.sec.gov/Archives/edgar/data/../../../ix?doc=/Archives/edgar/data/1042893/000119312524138410/d838309d8k.htm" TargetMode="External"/><Relationship Id="rId25" Type="http://schemas.openxmlformats.org/officeDocument/2006/relationships/hyperlink" Target="http://www.sec.gov/Archives/edgar/data/../../../ix?doc=/Archives/edgar/data/1042893/000119312524142937/d768740d8k.htm" TargetMode="External"/><Relationship Id="rId26" Type="http://schemas.openxmlformats.org/officeDocument/2006/relationships/hyperlink" Target="http://www.sec.gov/Archives/edgar/data/../../../ix?doc=/Archives/edgar/data/1042893/000095017024082091/drq-20240708.htm" TargetMode="External"/><Relationship Id="rId27" Type="http://schemas.openxmlformats.org/officeDocument/2006/relationships/hyperlink" Target="http://www.sec.gov/Archives/edgar/data/../../../ix?doc=/Archives/edgar/data/1042893/000119312524176793/d824482d8k.htm" TargetMode="External"/><Relationship Id="rId28" Type="http://schemas.openxmlformats.org/officeDocument/2006/relationships/hyperlink" Target="http://www.sec.gov/Archives/edgar/data/../../../ix?doc=/Archives/edgar/data/1042893/000095017024089244/drq-20240801.htm" TargetMode="External"/><Relationship Id="rId29" Type="http://schemas.openxmlformats.org/officeDocument/2006/relationships/hyperlink" Target="http://www.sec.gov/Archives/edgar/data/../../../ix?doc=/Archives/edgar/data/1042893/000095017024089318/drq-20240801.htm" TargetMode="External"/><Relationship Id="rId30" Type="http://schemas.openxmlformats.org/officeDocument/2006/relationships/hyperlink" Target="http://www.sec.gov/Archives/edgar/data/../../../ix?doc=/Archives/edgar/data/1042893/000119312524198364/d798252d8k.htm" TargetMode="External"/><Relationship Id="rId31" Type="http://schemas.openxmlformats.org/officeDocument/2006/relationships/hyperlink" Target="http://www.sec.gov/Archives/edgar/data/../../../ix?doc=/Archives/edgar/data/1042893/000119312524202533/d837697d8k.htm" TargetMode="External"/><Relationship Id="rId32" Type="http://schemas.openxmlformats.org/officeDocument/2006/relationships/hyperlink" Target="http://www.sec.gov/Archives/edgar/data/../../../ix?doc=/Archives/edgar/data/1042893/000119312524206725/d640932d8k.htm" TargetMode="External"/><Relationship Id="rId33" Type="http://schemas.openxmlformats.org/officeDocument/2006/relationships/hyperlink" Target="http://www.sec.gov/Archives/edgar/data/../../../ix?doc=/Archives/edgar/data/1042893/000119312524214232/d802930d8k.htm" TargetMode="External"/><Relationship Id="rId34" Type="http://schemas.openxmlformats.org/officeDocument/2006/relationships/hyperlink" Target="http://www.sec.gov/Archives/edgar/data/../../../ix?doc=/Archives/edgar/data/1042893/000119312524215264/d802924d8k.htm" TargetMode="External"/><Relationship Id="rId35" Type="http://schemas.openxmlformats.org/officeDocument/2006/relationships/hyperlink" Target="http://www.sec.gov/Archives/edgar/data/../../../ix?doc=/Archives/edgar/data/1042893/000119312524218005/d877249d8k.htm" TargetMode="External"/><Relationship Id="rId36" Type="http://schemas.openxmlformats.org/officeDocument/2006/relationships/hyperlink" Target="http://www.sec.gov/Archives/edgar/data/../../../ix?doc=/Archives/edgar/data/1042893/000119312524219679/d889425d8ka.htm" TargetMode="External"/><Relationship Id="rId37" Type="http://schemas.openxmlformats.org/officeDocument/2006/relationships/hyperlink" Target="http://www.sec.gov/Archives/edgar/data/1042893/000119312524127628/d773596ds4.htm" TargetMode="External"/><Relationship Id="rId38" Type="http://schemas.openxmlformats.org/officeDocument/2006/relationships/hyperlink" Target="http://www.sec.gov/Archives/edgar/data/1042893/000119312524161734/d773596ds4a.htm" TargetMode="External"/><Relationship Id="rId39" Type="http://schemas.openxmlformats.org/officeDocument/2006/relationships/hyperlink" Target="http://www.sec.gov/Archives/edgar/data/1042893/000119312524193373/d773596ds4a.htm" TargetMode="External"/><Relationship Id="rId40" Type="http://schemas.openxmlformats.org/officeDocument/2006/relationships/hyperlink" Target="http://www.sec.gov/Archives/edgar/data/1042893/000156459020007447/drq-ex42_431.htm" TargetMode="External"/><Relationship Id="rId41" Type="http://schemas.openxmlformats.org/officeDocument/2006/relationships/hyperlink" Target="http://www.sec.gov/Archives/edgar/data/1042893/0000899243-97-001988.txt" TargetMode="External"/><Relationship Id="rId42" Type="http://schemas.openxmlformats.org/officeDocument/2006/relationships/image" Target="media/image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27105</Words>
  <Characters>144248</Characters>
  <CharactersWithSpaces>171915</CharactersWithSpaces>
  <Paragraphs>1732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