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invx-20260806.htm"/>
      <w:bookmarkStart w:id="1" w:name="ksinvx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Innovex International,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6" w:type="dxa"/>
        <w:jc w:val="left"/>
        <w:tblInd w:w="0" w:type="dxa"/>
        <w:tblLayout w:type="fixed"/>
        <w:tblCellMar>
          <w:top w:w="28" w:type="dxa"/>
          <w:left w:w="28" w:type="dxa"/>
          <w:bottom w:w="28" w:type="dxa"/>
          <w:right w:w="28" w:type="dxa"/>
        </w:tblCellMar>
      </w:tblPr>
      <w:tblGrid>
        <w:gridCol w:w="949"/>
        <w:gridCol w:w="865"/>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001-13439</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74-2162088</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19120 Kenswick Drive </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Humble, Texas</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77338 </w:t>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346</w:t>
            </w:r>
            <w:r>
              <w:rPr>
                <w:rFonts w:ascii="Times New Roman" w:hAnsi="Times New Roman"/>
                <w:color w:val="000000"/>
                <w:sz w:val="20"/>
              </w:rPr>
              <w:t xml:space="preserve"> </w:t>
            </w:r>
            <w:r>
              <w:rPr>
                <w:rFonts w:ascii="Times New Roman" w:hAnsi="Times New Roman"/>
                <w:b/>
                <w:color w:val="000000"/>
                <w:sz w:val="20"/>
              </w:rPr>
              <w:t>398-0000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pPr>
      <w:r>
        <w:rPr/>
        <w:t> </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8530" w:type="dxa"/>
        <w:jc w:val="left"/>
        <w:tblInd w:w="0" w:type="dxa"/>
        <w:tblLayout w:type="fixed"/>
        <w:tblCellMar>
          <w:top w:w="28" w:type="dxa"/>
          <w:left w:w="28" w:type="dxa"/>
          <w:bottom w:w="28" w:type="dxa"/>
          <w:right w:w="28" w:type="dxa"/>
        </w:tblCellMar>
      </w:tblPr>
      <w:tblGrid>
        <w:gridCol w:w="3466"/>
        <w:gridCol w:w="146"/>
        <w:gridCol w:w="946"/>
        <w:gridCol w:w="146"/>
        <w:gridCol w:w="3826"/>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34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INVX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1.01 Entry into a Material Definitive Agreement.</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 xml:space="preserve">On August 6, 2026, Innovex International, Inc. (the “Company”) entered into an Underwriting Agreement (the “Underwriting Agreement”) with certain affiliates of Amberjack Capital Partners, L.P. (the “Selling Stockholders”) and Barclays Capital Inc., as underwriter (the “Underwriter”), relating to the offer and sale by the Selling Stockholders of 5,000,000 shares of common stock, par value $0.01 per share, of the Company (the “Common Stock”), at a price to the Underwriter of $28.71 per share (the “Offering”). The Company did not sell any shares of Common Stock in the Offering and did not receive any proceeds from the sale of the shares offered by the Selling Stockholders. </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Offering closed on August 10, 2026. The Offering was made pursuant to the Company’s effective shelf registration statement on Form S-3 (File No. 333-282178), filed previously with the U.S. Securities and Exchange Commission (the “SEC”) that became effective on October 1, 2024, which consists of a base prospectus, filed with the SEC on September 17, 2024, a preliminary prospectus supplement, filed with the SEC on August 6, 2026, and a final prospectus supplement, filed with the SEC on August 10, 2026.</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Underwriting Agreement contains customary representations and warranties, agreements and obligations, closing conditions and termination provisions. The Company and the Selling Stockholders have agreed to indemnify the Underwriter against certain liabilities and to contribute to payments the Underwriter may be required to make in the event of any such liabilities.</w:t>
      </w:r>
    </w:p>
    <w:p>
      <w:pPr>
        <w:pStyle w:val="TextBody"/>
        <w:bidi w:val="0"/>
        <w:spacing w:before="0" w:after="160"/>
        <w:jc w:val="both"/>
        <w:rPr>
          <w:rFonts w:ascii="Times New Roman" w:hAnsi="Times New Roman"/>
          <w:color w:val="000000"/>
          <w:sz w:val="20"/>
        </w:rPr>
      </w:pPr>
      <w:r>
        <w:rPr>
          <w:rFonts w:ascii="Times New Roman" w:hAnsi="Times New Roman"/>
          <w:color w:val="000000"/>
          <w:sz w:val="20"/>
        </w:rPr>
        <w:t>The foregoing description of the Underwriting Agreement does not purport to be complete and is subject to and is qualified in its entirety by reference to the Underwriting Agreement, a copy of which is attached hereto as Exhibit 1.1 and the terms of which are incorporated herein by reference.</w:t>
      </w:r>
    </w:p>
    <w:p>
      <w:pPr>
        <w:pStyle w:val="Heading2"/>
        <w:bidi w:val="0"/>
        <w:spacing w:before="20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40" w:after="160"/>
        <w:jc w:val="both"/>
        <w:rPr>
          <w:rFonts w:ascii="Times New Roman" w:hAnsi="Times New Roman"/>
          <w:color w:val="000000"/>
          <w:sz w:val="20"/>
        </w:rPr>
      </w:pPr>
      <w:r>
        <w:rPr>
          <w:rFonts w:ascii="Times New Roman" w:hAnsi="Times New Roman"/>
          <w:color w:val="000000"/>
          <w:sz w:val="20"/>
        </w:rPr>
        <w:t>(d) Exhibits.</w:t>
      </w:r>
    </w:p>
    <w:tbl>
      <w:tblPr>
        <w:tblW w:w="10205" w:type="dxa"/>
        <w:jc w:val="left"/>
        <w:tblInd w:w="0" w:type="dxa"/>
        <w:tblLayout w:type="fixed"/>
        <w:tblCellMar>
          <w:top w:w="28" w:type="dxa"/>
          <w:left w:w="28" w:type="dxa"/>
          <w:bottom w:w="28" w:type="dxa"/>
          <w:right w:w="28" w:type="dxa"/>
        </w:tblCellMar>
      </w:tblPr>
      <w:tblGrid>
        <w:gridCol w:w="993"/>
        <w:gridCol w:w="9212"/>
      </w:tblGrid>
      <w:tr>
        <w:trPr/>
        <w:tc>
          <w:tcPr>
            <w:tcW w:w="993" w:type="dxa"/>
            <w:tcBorders/>
            <w:vAlign w:val="center"/>
          </w:tcPr>
          <w:p>
            <w:pPr>
              <w:pStyle w:val="TableContents"/>
              <w:bidi w:val="0"/>
              <w:spacing w:before="0" w:after="283"/>
              <w:jc w:val="left"/>
              <w:rPr>
                <w:sz w:val="4"/>
                <w:szCs w:val="4"/>
              </w:rPr>
            </w:pPr>
            <w:r>
              <w:rPr>
                <w:sz w:val="4"/>
                <w:szCs w:val="4"/>
              </w:rPr>
            </w:r>
          </w:p>
        </w:tc>
        <w:tc>
          <w:tcPr>
            <w:tcW w:w="9212" w:type="dxa"/>
            <w:tcBorders/>
            <w:vAlign w:val="center"/>
          </w:tcPr>
          <w:p>
            <w:pPr>
              <w:pStyle w:val="TableContents"/>
              <w:bidi w:val="0"/>
              <w:spacing w:before="0" w:after="283"/>
              <w:jc w:val="left"/>
              <w:rPr>
                <w:sz w:val="4"/>
                <w:szCs w:val="4"/>
              </w:rPr>
            </w:pPr>
            <w:r>
              <w:rPr>
                <w:sz w:val="4"/>
                <w:szCs w:val="4"/>
              </w:rPr>
            </w:r>
          </w:p>
        </w:tc>
      </w:tr>
      <w:tr>
        <w:trPr/>
        <w:tc>
          <w:tcPr>
            <w:tcW w:w="9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921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9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w:t>
            </w:r>
          </w:p>
        </w:tc>
        <w:tc>
          <w:tcPr>
            <w:tcW w:w="9212" w:type="dxa"/>
            <w:tcBorders/>
            <w:tcMar>
              <w:top w:w="0" w:type="dxa"/>
              <w:left w:w="0" w:type="dxa"/>
              <w:bottom w:w="0" w:type="dxa"/>
              <w:right w:w="0" w:type="dxa"/>
            </w:tcMar>
            <w:vAlign w:val="center"/>
          </w:tcPr>
          <w:p>
            <w:pPr>
              <w:pStyle w:val="TableContents"/>
              <w:bidi w:val="0"/>
              <w:spacing w:before="0" w:after="283"/>
              <w:jc w:val="both"/>
              <w:rPr/>
            </w:pPr>
            <w:hyperlink w:anchor="invx-ex1_1.htm">
              <w:r>
                <w:rPr>
                  <w:rStyle w:val="InternetLink"/>
                  <w:rFonts w:ascii="Times New Roman" w:hAnsi="Times New Roman"/>
                  <w:color w:val="0000FF"/>
                  <w:sz w:val="20"/>
                  <w:u w:val="single"/>
                </w:rPr>
                <w:t>Underwriting Agreement, dated as of August 6, 2026, by and among Innovex International, Inc., the Selling Stockholders and Barclays Capital Inc.</w:t>
              </w:r>
            </w:hyperlink>
            <w:hyperlink w:anchor="invx-ex1_1.htm">
              <w:r>
                <w:rPr>
                  <w:rStyle w:val="InternetLink"/>
                  <w:rFonts w:ascii="Times New Roman" w:hAnsi="Times New Roman"/>
                  <w:color w:val="0000FF"/>
                  <w:sz w:val="20"/>
                </w:rPr>
                <w:t xml:space="preserve"> </w:t>
              </w:r>
            </w:hyperlink>
          </w:p>
        </w:tc>
      </w:tr>
      <w:tr>
        <w:trPr/>
        <w:tc>
          <w:tcPr>
            <w:tcW w:w="993"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104</w:t>
            </w:r>
          </w:p>
        </w:tc>
        <w:tc>
          <w:tcPr>
            <w:tcW w:w="92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Cover Page Interactive Data File (formatted as inline XBRL)</w:t>
            </w:r>
          </w:p>
        </w:tc>
      </w:tr>
      <w:tr>
        <w:trPr/>
        <w:tc>
          <w:tcPr>
            <w:tcW w:w="993" w:type="dxa"/>
            <w:tcBorders/>
            <w:tcMar>
              <w:top w:w="0" w:type="dxa"/>
              <w:left w:w="0" w:type="dxa"/>
              <w:bottom w:w="0" w:type="dxa"/>
              <w:right w:w="0" w:type="dxa"/>
            </w:tcMar>
            <w:vAlign w:val="center"/>
          </w:tcPr>
          <w:p>
            <w:pPr>
              <w:pStyle w:val="TableContents"/>
              <w:bidi w:val="0"/>
              <w:spacing w:before="0" w:after="283"/>
              <w:jc w:val="left"/>
              <w:rPr/>
            </w:pPr>
            <w:r>
              <w:rPr/>
              <w:t> </w:t>
            </w:r>
          </w:p>
        </w:tc>
        <w:tc>
          <w:tcPr>
            <w:tcW w:w="9212"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Certain schedules, exhibits and similar attachments have been omitted pursuant to Item 601(a)(5) of Regulation S-K. The Company agrees to furnish supplementally a copy of such schedules, or any section thereof, to the SEC upon request.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4819" w:type="dxa"/>
        <w:jc w:val="left"/>
        <w:tblInd w:w="0" w:type="dxa"/>
        <w:tblLayout w:type="fixed"/>
        <w:tblCellMar>
          <w:top w:w="28" w:type="dxa"/>
          <w:left w:w="28" w:type="dxa"/>
          <w:bottom w:w="28" w:type="dxa"/>
          <w:right w:w="28" w:type="dxa"/>
        </w:tblCellMar>
      </w:tblPr>
      <w:tblGrid>
        <w:gridCol w:w="556"/>
        <w:gridCol w:w="1456"/>
        <w:gridCol w:w="451"/>
        <w:gridCol w:w="235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 xml:space="preserve">Innovex International, Inc. </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10,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35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Adam Anderson</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35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Adam Anderson</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i/>
          <w:color w:val="000000"/>
          <w:sz w:val="22"/>
        </w:rPr>
      </w:pPr>
      <w:bookmarkStart w:id="2" w:name="invx-ex1_1.htm"/>
      <w:bookmarkStart w:id="3" w:name="ksinvxex1_1"/>
      <w:bookmarkEnd w:id="2"/>
      <w:bookmarkEnd w:id="3"/>
      <w:r>
        <w:rPr>
          <w:rFonts w:ascii="Times New Roman" w:hAnsi="Times New Roman"/>
          <w:b/>
          <w:i/>
          <w:color w:val="000000"/>
          <w:sz w:val="22"/>
        </w:rPr>
        <w:t>Execution Version</w:t>
      </w:r>
      <w:r>
        <w:br w:type="page"/>
      </w:r>
    </w:p>
    <w:p>
      <w:pPr>
        <w:pStyle w:val="TextBody"/>
        <w:bidi w:val="0"/>
        <w:jc w:val="center"/>
        <w:rPr>
          <w:rFonts w:ascii="Times New Roman" w:hAnsi="Times New Roman"/>
          <w:color w:val="000000"/>
          <w:sz w:val="24"/>
        </w:rPr>
      </w:pPr>
      <w:r>
        <w:rPr>
          <w:rFonts w:ascii="Times New Roman" w:hAnsi="Times New Roman"/>
          <w:color w:val="000000"/>
          <w:sz w:val="24"/>
        </w:rPr>
        <w:t>Innovex International, Inc.</w:t>
        <w:br/>
        <w:br/>
        <w:t>5,000,000 Shares of Common Stock</w:t>
      </w:r>
    </w:p>
    <w:p>
      <w:pPr>
        <w:pStyle w:val="TextBody"/>
        <w:bidi w:val="0"/>
        <w:jc w:val="center"/>
        <w:rPr>
          <w:rFonts w:ascii="Times New Roman" w:hAnsi="Times New Roman"/>
          <w:sz w:val="20"/>
        </w:rPr>
      </w:pPr>
      <w:r>
        <w:rPr>
          <w:rFonts w:ascii="Times New Roman" w:hAnsi="Times New Roman"/>
          <w:color w:val="000000"/>
          <w:sz w:val="24"/>
        </w:rPr>
        <w:br/>
      </w:r>
      <w:r>
        <w:rPr>
          <w:rFonts w:ascii="Times New Roman" w:hAnsi="Times New Roman"/>
          <w:color w:val="000000"/>
          <w:sz w:val="24"/>
          <w:u w:val="single"/>
        </w:rPr>
        <w:t>Underwriting Agreement</w:t>
      </w:r>
    </w:p>
    <w:p>
      <w:pPr>
        <w:pStyle w:val="TextBody"/>
        <w:bidi w:val="0"/>
        <w:jc w:val="center"/>
        <w:rPr/>
      </w:pPr>
      <w:r>
        <w:rPr/>
        <w:t> </w:t>
      </w:r>
    </w:p>
    <w:p>
      <w:pPr>
        <w:pStyle w:val="TextBody"/>
        <w:bidi w:val="0"/>
        <w:jc w:val="right"/>
        <w:rPr>
          <w:rFonts w:ascii="Times New Roman" w:hAnsi="Times New Roman"/>
          <w:color w:val="000000"/>
          <w:sz w:val="24"/>
        </w:rPr>
      </w:pPr>
      <w:r>
        <w:rPr>
          <w:rFonts w:ascii="Times New Roman" w:hAnsi="Times New Roman"/>
          <w:color w:val="000000"/>
          <w:sz w:val="24"/>
        </w:rPr>
        <w:t>August 6, 2026</w:t>
      </w:r>
    </w:p>
    <w:p>
      <w:pPr>
        <w:pStyle w:val="TextBody"/>
        <w:bidi w:val="0"/>
        <w:jc w:val="left"/>
        <w:rPr>
          <w:rFonts w:ascii="Times New Roman" w:hAnsi="Times New Roman"/>
          <w:color w:val="000000"/>
          <w:sz w:val="24"/>
        </w:rPr>
      </w:pPr>
      <w:r>
        <w:rPr>
          <w:rFonts w:ascii="Times New Roman" w:hAnsi="Times New Roman"/>
          <w:color w:val="000000"/>
          <w:sz w:val="24"/>
        </w:rPr>
        <w:t>Barclays Capital Inc.</w:t>
      </w:r>
    </w:p>
    <w:p>
      <w:pPr>
        <w:pStyle w:val="TextBody"/>
        <w:bidi w:val="0"/>
        <w:jc w:val="left"/>
        <w:rPr>
          <w:rFonts w:ascii="Times New Roman" w:hAnsi="Times New Roman"/>
          <w:color w:val="000000"/>
          <w:sz w:val="24"/>
        </w:rPr>
      </w:pPr>
      <w:r>
        <w:rPr>
          <w:rFonts w:ascii="Times New Roman" w:hAnsi="Times New Roman"/>
          <w:color w:val="000000"/>
          <w:sz w:val="24"/>
        </w:rPr>
        <w:t>745 Seventh Avenue</w:t>
      </w:r>
    </w:p>
    <w:p>
      <w:pPr>
        <w:pStyle w:val="TextBody"/>
        <w:bidi w:val="0"/>
        <w:jc w:val="left"/>
        <w:rPr>
          <w:rFonts w:ascii="Times New Roman" w:hAnsi="Times New Roman"/>
          <w:sz w:val="20"/>
        </w:rPr>
      </w:pPr>
      <w:r>
        <w:rPr>
          <w:rFonts w:ascii="Times New Roman" w:hAnsi="Times New Roman"/>
          <w:color w:val="000000"/>
          <w:sz w:val="24"/>
        </w:rPr>
        <w:t>New York, NY 10019</w:t>
      </w:r>
      <w:r>
        <w:rPr>
          <w:rFonts w:ascii="Times New Roman" w:hAnsi="Times New Roman"/>
          <w:color w:val="000000"/>
          <w:sz w:val="20"/>
        </w:rPr>
        <w:t xml:space="preserve"> </w:t>
      </w:r>
    </w:p>
    <w:p>
      <w:pPr>
        <w:pStyle w:val="TextBody"/>
        <w:bidi w:val="0"/>
        <w:spacing w:before="240" w:after="283"/>
        <w:jc w:val="lef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240" w:after="240"/>
        <w:jc w:val="left"/>
        <w:rPr>
          <w:rFonts w:ascii="Times New Roman" w:hAnsi="Times New Roman"/>
          <w:color w:val="000000"/>
          <w:sz w:val="24"/>
        </w:rPr>
      </w:pPr>
      <w:r>
        <w:rPr>
          <w:rFonts w:ascii="Times New Roman" w:hAnsi="Times New Roman"/>
          <w:color w:val="000000"/>
          <w:sz w:val="24"/>
        </w:rPr>
        <w:t>Certain stockholders named in Schedule 1 hereto (the “Selling Stockholders”) of Innovex International, Inc., a Delaware corporation (the “Company”), propose to sell to Barclays Capital Inc. (“you” or the “Underwriter”) 5,000,000 shares of common stock, par value $0.01 per share, of the Company (the “Shares”). The shares of common stock of the Company to be outstanding after giving effect to the sale of the Shares are referred to herein as the “Stock”.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Company and the Selling Stockholders hereby confirm their agreement with you concerning the purchase and sale of the Shares, as follows: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 </w:t>
      </w:r>
      <w:r>
        <w:rPr>
          <w:rFonts w:ascii="Times New Roman" w:hAnsi="Times New Roman"/>
          <w:color w:val="000000"/>
          <w:sz w:val="24"/>
          <w:u w:val="single"/>
        </w:rPr>
        <w:t>Registration Statement</w:t>
      </w:r>
      <w:r>
        <w:rPr>
          <w:rFonts w:ascii="Times New Roman" w:hAnsi="Times New Roman"/>
          <w:color w:val="000000"/>
          <w:sz w:val="24"/>
        </w:rPr>
        <w:t>. The Company has prepared and filed with the Securities and Exchange Commission (the “Commission”) under the Securities Act of 1933, as amended, and the rules and regulations of the Commission thereunder (collectively, the “Securities Act”), a registration statement on Form S-3 (File No. 333-282178), including a prospectus, relating to the Shares. Such registration statement, as amended at the time it became effective, including the information, if any, deemed pursuant to Rule 430A, 430B or 430C under the Securities Act to be part of the registration statement at the time of its effectiveness (“Rule 430 Information”), is referred to herein as the “Registration Statement”; and as used herein, the term “Preliminary Prospectus” means each prospectus included in such registration statement (and any amendments thereto) before effectiveness, any prospectus filed with the Commission pursuant to Rule 424(a) under the Securities Act and the prospectus included in the Registration Statement at the time of its effectiveness that omits Rule 430 Information, and the term “Prospectus” means the prospectus in the form first used (or made available upon request of purchasers pursuant to Rule 173 under the Securities Act) in connection with confirmation of sales of the Shares. Any reference in this underwriting agreement (this “Agreement”) to the Registration Statement, any Preliminary Prospectus or the Prospectus shall be deemed to refer to and include the documents incorporated by reference therein pursuant to Item 12 of Form S-3 under the Securities Act, as of the effective date of the Registration Statement or the date of such Preliminary Prospectus or the Prospectus, as the case may be, and any reference to “amend”, “amendment” or “supplement” with respect to the Registration Statement, any Preliminary Prospectus or the Prospectus shall be deemed to refer to and include any documents filed after such date and prior to the completion of the offering of the Shares under the Securities Exchange Act of 1934, as amended, and the rules and regulations of the Commission thereunder (collectively, the “Exchange Act”) that are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deemed to be incorporated by reference therein. Capitalized terms used but not defined herein shall have the meanings given to such terms in the Registration Statement and the Prospectus.</w:t>
      </w:r>
    </w:p>
    <w:p>
      <w:pPr>
        <w:pStyle w:val="TextBody"/>
        <w:bidi w:val="0"/>
        <w:jc w:val="left"/>
        <w:rPr>
          <w:rFonts w:ascii="Times New Roman" w:hAnsi="Times New Roman"/>
          <w:color w:val="000000"/>
          <w:sz w:val="24"/>
        </w:rPr>
      </w:pPr>
      <w:r>
        <w:rPr>
          <w:rFonts w:ascii="Times New Roman" w:hAnsi="Times New Roman"/>
          <w:color w:val="000000"/>
          <w:sz w:val="24"/>
        </w:rPr>
        <w:t>At or prior to the Applicable Time (as defined below), the Company had prepared the following information (collectively with the pricing information set forth on Annex A, the “Pricing Disclosure Package”): a Preliminary Prospectus dated August 6, 2026, and each “free-writing prospectus” (as defined pursuant to Rule 405 under the Securities Act) listed on Annex B hereto.</w:t>
      </w:r>
    </w:p>
    <w:p>
      <w:pPr>
        <w:pStyle w:val="TextBody"/>
        <w:bidi w:val="0"/>
        <w:spacing w:before="0" w:after="240"/>
        <w:jc w:val="left"/>
        <w:rPr>
          <w:color w:val="000000"/>
        </w:rPr>
      </w:pPr>
      <w:r>
        <w:rPr>
          <w:color w:val="000000"/>
        </w:rPr>
        <w:t>“</w:t>
      </w:r>
      <w:r>
        <w:rPr>
          <w:rFonts w:ascii="Times New Roman" w:hAnsi="Times New Roman"/>
          <w:color w:val="000000"/>
          <w:sz w:val="24"/>
        </w:rPr>
        <w:t>Applicable Time” means 4:18 P.M., New York City time, on August 6, 2026.</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2. </w:t>
      </w:r>
      <w:r>
        <w:rPr>
          <w:rFonts w:ascii="Times New Roman" w:hAnsi="Times New Roman"/>
          <w:color w:val="000000"/>
          <w:sz w:val="24"/>
          <w:u w:val="single"/>
        </w:rPr>
        <w:t>Purchase of the Shares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Each of the Selling Stockholders agrees, severally and not jointly, to sell to the Underwriter, and the Underwriter agrees to purchase from each of the Selling Stockholders, at a price per share of $28.71 (the “Purchase Price”), the number of Shares set forth opposite such Selling Stockholder's name in Schedule 1 hereto.</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The Selling Stockholders understand that the Underwriter intends to make a public offering of the Shares, and initially to offer the Shares on the terms set forth in the Pricing Disclosure Package. The Selling Stockholders acknowledge and agree that the Underwriter may offer and sell Shares to or through any affiliate of the Underwriter.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Payment for the Shares shall be made by wire transfer in immediately available funds to the account specified by the Selling Stockholders to you at the offices of Latham &amp; Watkins LLP, 811 Main Street, Suite 3700, Houston, TX 77002, at 10:00 A.M. New York City time on August 10, 2026, or at such other time or place on the same or such other date, not later than the fifth business day thereafter, as you and the Selling Stockholders may agree upon in writing. The time and date of such payment for the Shares is referred to herein as the “Closing Date”.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 Payment for the Shares to be purchased on the Closing Date shall be made against delivery to you of the Shares to be purchased on such date in definitive form registered in such names and in such denominations as you shall request in writing not later than two full business days prior to the Closing Date, with any transfer taxes payable in connection with the sale of such Shares duly paid by the Selling Stockholders. Delivery of the Shares shall be made through the facilities of The Depository Trust Company (“DTC”) unless you shall otherwise instruct.</w:t>
      </w:r>
    </w:p>
    <w:p>
      <w:pPr>
        <w:pStyle w:val="TextBody"/>
        <w:bidi w:val="0"/>
        <w:spacing w:before="0" w:after="240"/>
        <w:jc w:val="left"/>
        <w:rPr>
          <w:rFonts w:ascii="Times New Roman" w:hAnsi="Times New Roman"/>
          <w:sz w:val="20"/>
        </w:rPr>
      </w:pPr>
      <w:r>
        <w:rPr>
          <w:rFonts w:ascii="Times New Roman" w:hAnsi="Times New Roman"/>
          <w:color w:val="000000"/>
          <w:sz w:val="24"/>
        </w:rPr>
        <w:t>(e) Each of the Company and each Selling Stockholder acknowledges and agrees that you are acting solely in the capacity of an arm’s length contractual counterparty to the Company and the Selling Stockholders with respect to the offering of Shares contemplated hereby (including in connection with determining the terms of the offering) and not as a financial advisor or a fiduciary to, or an agent of, the Company, the Selling Stockholders or any other person. Additionally, you are not advising the Company, the Selling Stockholders or any other person as to any legal, tax, investment, accounting or regulatory matters in any jurisdiction. The Company and the Selling Stockholders shall consult with their own advisors concerning such matters and each shall be responsible for making its own independent investigation and appraisal of the transactions contemplated hereby, and you shall have no responsibility or liability to the Company or the Selling Stockholders with respect thereto. Any review by you of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transactions contemplated hereby or other matters relating to such transactions will be performed solely for your benefit and shall not be on behalf of the Company or the Selling Stockholders. Moreover, each Selling Stockholder acknowledges and agrees that, although you may be required or choose to provide certain Selling Stockholders with certain Regulation Best Interest and Form CRS disclosures in connection with the offering, you are not making a recommendation to any Selling Stockholder to participate in the offering, enter into a “lock-up” agreement, or sell any Shares at the price determined in the offering, and nothing set forth in such disclosures is intended to suggest that you are making such a recommendation.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3. </w:t>
      </w:r>
      <w:r>
        <w:rPr>
          <w:rFonts w:ascii="Times New Roman" w:hAnsi="Times New Roman"/>
          <w:color w:val="000000"/>
          <w:sz w:val="24"/>
          <w:u w:val="single"/>
        </w:rPr>
        <w:t>Representations and Warranties of the Company</w:t>
      </w:r>
      <w:r>
        <w:rPr>
          <w:rFonts w:ascii="Times New Roman" w:hAnsi="Times New Roman"/>
          <w:color w:val="000000"/>
          <w:sz w:val="24"/>
        </w:rPr>
        <w:t>. The Company represents and warrants to you that: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 xml:space="preserve">Preliminary Prospectus. </w:t>
      </w:r>
      <w:r>
        <w:rPr>
          <w:rFonts w:ascii="Times New Roman" w:hAnsi="Times New Roman"/>
          <w:color w:val="000000"/>
          <w:sz w:val="24"/>
        </w:rPr>
        <w:t xml:space="preserve">No order preventing or suspending the use of any Preliminary Prospectus has been issued by the Commission, and each Preliminary Prospectus included in the Pricing Disclosure Package, at the time of filing thereof, complied in all material respects with the Securities Act, and no Preliminary Prospectus, at the time of filing thereof, contained any untrue statement of a material fact or omitted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Company makes no representation or warranty with respect to any statements or omissions made in reliance upon and in conformity with (i) information relating to the Underwriter furnished to the Company in writing by the Underwriter expressly for use in any Preliminary Prospectus, it being understood and agreed that the only such information furnished by the Underwriter consists of the information described as such in Section 9(c) hereof, or (ii) information relating to any Selling Stockholder furnished to the Company in writing by such Selling Stockholder expressly for use in any Preliminary Prospectus, it being understood and agreed that the only such information furnished by any such Selling Stockholder consists of the information described as such in Section 9(b)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Pricing Disclosure Package</w:t>
      </w:r>
      <w:r>
        <w:rPr>
          <w:rFonts w:ascii="Times New Roman" w:hAnsi="Times New Roman"/>
          <w:color w:val="000000"/>
          <w:sz w:val="24"/>
        </w:rPr>
        <w:t xml:space="preserve">. The Pricing Disclosure Package as of the Applicable Time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Company makes no representation or warranty with respect to any statements or omissions made in reliance upon and in conformity with (i) information relating to the Underwriter furnished to the Company in writing by the Underwriter expressly for use in such Pricing Disclosure Package, it being understood and agreed that the only such information furnished by the Underwriter consists of the information described as such in Section 9(c) hereof, or (ii) information relating to any Selling Stockholder furnished to the Company in writing by such Selling Stockholder expressly for use in such Pricing Disclosure Package, it being understood and agreed that the only such information furnished by any such Selling Stockholder consists of the information described as such in Section 9(b) hereof. No statement of material fact included in the Prospectus has been omitted from the Pricing Disclosure Package and no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statement of material fact included in the Pricing Disclosure Package that is required to be included in the Prospectus has been omitted therefrom.</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Issuer Free Writing Prospectus. </w:t>
      </w:r>
      <w:r>
        <w:rPr>
          <w:rFonts w:ascii="Times New Roman" w:hAnsi="Times New Roman"/>
          <w:color w:val="000000"/>
          <w:sz w:val="24"/>
        </w:rPr>
        <w:t xml:space="preserve">Other than the Registration Statement, the Preliminary Prospectus and the Prospectus, the Company (including its agents and representatives, other than the Underwriter in its capacity as such) has not prepared, made, used, authorized, approved or referred to and will not prepare, make, use, authorize, approve or refer to any “written communication” (as defined in Rule 405 under the Securities Act) that constitutes an offer to sell or solicitation of an offer to buy the Shares (each such communication by the Company or its agents and representatives (other than a communication referred to in clause (i) below), an “Issuer Free Writing Prospectus”)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you. Each such Issuer Free Writing Prospectus complies in all material respects with the Securities Act, has been or will be (within the time period specified in Rule 433) filed in accordance with the Securities Act (to the extent required thereby) and does not conflict with the information contained in the Registration Statement or the Pricing Disclosure Package, and, when taken together with the Preliminary Prospectus accompanying, or delivered prior to delivery of, such Issuer Free Writing Prospectus,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Company makes no representation or warranty with respect to any statements or omissions made in each such Issuer Free Writing Prospectus or Preliminary Prospectus in reliance upon and in conformity with (i) information relating to the Underwriter furnished to the Company in writing by the Underwriter expressly for use in such Issuer Free Writing Prospectus or Preliminary Prospectus, it being understood and agreed that the only such information furnished by the Underwriter consists of the information described as such in Section 9(c) hereof, or (ii) information relating to any Selling Stockholder furnished to the Company in writing by such Selling Stockholder expressly for use in such Issuer Free Writing Prospectus or Preliminary Prospectus, it being understood and agreed that the only such information furnished by any such Selling Stockholder consists of the information described as such in Section 9(b)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Registration Statement and Prospectus. </w:t>
      </w:r>
      <w:r>
        <w:rPr>
          <w:rFonts w:ascii="Times New Roman" w:hAnsi="Times New Roman"/>
          <w:color w:val="000000"/>
          <w:sz w:val="24"/>
        </w:rPr>
        <w:t>The Registration Statement has been declared effective by the Commission. No order suspending the effectiveness of the Registration Statement has been issued by the Commission, and no proceeding for that purpose or pursuant to Section 8A of the Securities Act against the Company or related to the offering of the Shares has been initiated or, to the knowledge of the Company, threatened by the Commission; 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statements therein not misleading; and as of the date of the Prospectus and any amendment or supplement thereto and as of the Closing Date, the Prospectus will comply in all material respects with the Securities Act and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Company makes no representation or warranty with respect to any statements or omissions made in reliance upon and in conformity with (i) information relating to the Underwriter furnished to the Company in writing by the Underwriter expressly for use in the Registration Statement and the Prospectus and any amendment or supplement thereto, it being understood and agreed that the only such information furnished by the Underwriter consists of the information described as such in Section 9(c) hereof, or (ii) information relating to any Selling Stockholder furnished to the Company in writing by such Selling Stockholder expressly for use in the Registration Statement and the Prospectus and any amendment or supplement thereto, it being understood and agreed that the only such information furnished by any such Selling Stockholder consists of the information described as such in Section 9(b)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 xml:space="preserve">Incorporated Documents. </w:t>
      </w:r>
      <w:r>
        <w:rPr>
          <w:rFonts w:ascii="Times New Roman" w:hAnsi="Times New Roman"/>
          <w:color w:val="000000"/>
          <w:sz w:val="24"/>
        </w:rPr>
        <w:t>The documents, in each case as amended, incorporated by reference in the Registration Statement, the Prospectus and the Pricing Disclosure Package, when they were filed with the Commission conformed in all material respects to the requirements of the Exchange Act, and none of such documents contained any untrue statement of a material fact or omitted to state a material fact necessary to make the statements therein, in the light of the circumstances under which they were made, not misleading; and any further documents so filed and incorporated by reference in the Registration Statement, the Prospectus or the Pricing Disclosure Package prior to the consummation of the offering of the Shares, when such documents are filed with the Commission, will conform in all material respects to the requirements of the Exchange Act and will not contain any untrue statement of a material fact or omit to state a material fact necessary to make the statements therein, in the light of the circumstances under which they were made, not misleading.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 xml:space="preserve">Financial Statements. </w:t>
      </w:r>
      <w:r>
        <w:rPr>
          <w:rFonts w:ascii="Times New Roman" w:hAnsi="Times New Roman"/>
          <w:color w:val="000000"/>
          <w:sz w:val="24"/>
        </w:rPr>
        <w:t>The financial statements, as restated (including the related notes thereto), of the Company and its consolidated subsidiaries included or incorporated by reference in the Registration Statement, the Pricing Disclosure Package and the Prospectus comply in all material respects with the applicable requirements of the Securities Act and the Exchange Act, as applicable, and present fairly in all material respects the financial position of the Company and its consolidated subsidiaries as of the dates indicated and the results of their operations and the changes in their cash flows for the periods specified; such financial statements, as restated, have been prepared in conformity with generally accepted accounting principles in the United States (“GAAP”) applied on a consistent basis throughout the periods covered thereby, and any supporting schedules included or incorporated by reference in the Registration Statement present fairly in all material respects the information required to be stated therein; and the other financial information included or incorporated by reference in the Registration Statement, the Pricing Disclosure Package and the Prospectus has been derived from the accounting records of the Company and its consolidated subsidiaries and presents fairly in 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material respects the information shown thereby; and all disclosures included or incorporated by reference in the Registration Statement, the Pricing Disclosure Package and the Prospectus regarding “non-GAAP financial measures” (as such term is defined by the rules and regulations of the Commission) comply in all material respects with Regulation G of the Exchange Act and Item 10 of Regulation S-K of the Securities Act, to the extent applicable; and the pro forma financial information and the related notes thereto included or incorporated by reference in the Registration Statement, the Pricing Disclosure Package and the Prospectus have been prepared in accordance with the applicable requirements of the Securities Act and the Exchange Act, as applicable, and the assumptions underlying such pro forma financial information are reasonable and are set forth in the Registration Statement, the Pricing Disclosure Package and the Prospectus, as applicable.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 xml:space="preserve">No Material Adverse Change. </w:t>
      </w:r>
      <w:r>
        <w:rPr>
          <w:rFonts w:ascii="Times New Roman" w:hAnsi="Times New Roman"/>
          <w:color w:val="000000"/>
          <w:sz w:val="24"/>
        </w:rPr>
        <w:t>Since the date of the most recent financial statements of the Company included or incorporated by reference in the Registration Statement, the Pricing Disclosure Package and the Prospectus, and except as disclosed in the Registration Statement, Pricing Disclosure Package or Prospectus, (i) there has not been any material change in the capital stock of the Company (other than the issuance of shares of Common Stock upon exercise or settlement of restricted stock units, stock options and warrants described as outstanding in, and the grant of restricted stock units, options and awards under existing equity incentive plans described in, the Registration Statement, the Pricing Disclosure Package and the Prospectus), incurrence of any indebtedness that is material to the Company and its subsidiaries taken as a whole, or any dividend or distribution of any kind declared, set aside for payment, paid or made by the Company on any class of capital stock, or any material adverse change, or any development reasonably expected to involve a prospective material adverse change, in or affecting the business, properties, management, financial position, stockholders’ equity, results of operations or prospects of the Company and its subsidiaries taken as a whole; (ii) neither the Company nor any of its subsidiaries has entered into any transaction or agreement (whether or not in the ordinary course of business) that is material to the Company and its subsidiaries taken as a whole or incurred any liability or obligation, direct or contingent, that is material to the Company and its subsidiaries taken as a whole; and (iii) neither the Company nor any of its subsidiaries has sustained any loss or interference with its business that is material to the Company and its subsidiaries taken as a whole and that is either from fire, explosion, flood or other calamity, whether or not covered by insurance, or from any labor disturbance or dispute or any action, order or decree of any court or arbitrator or governmental or regulatory authority.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 xml:space="preserve">Organization and Good Standing. </w:t>
      </w:r>
      <w:r>
        <w:rPr>
          <w:rFonts w:ascii="Times New Roman" w:hAnsi="Times New Roman"/>
          <w:color w:val="000000"/>
          <w:sz w:val="24"/>
        </w:rPr>
        <w:t>The Company and each of its subsidiaries have been duly organized and are validly existing and (where such designation is applicable) in good standing under the laws of their respective jurisdictions of organization, are duly qualified to do business and are in good standing in each jurisdiction in which their respective ownership or lease of property or the conduct of their respective businesses requires such qualification, and have all power and authority necessary to own or hold their respective properties and to conduct the businesses in which they are engaged, except where the failure to be so qualified or in good standing or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have such power or authority would not, individually or in the aggregate, reasonably be expected to have a material adverse effect on the business, properties, management, financial position, stockholders’ equity, results of operations or prospects of the Company and its subsidiaries taken as a whole or on the performance by the Company of its obligations under this Agreement (a “Material Adverse Effect”). The Company does not own or control, directly or indirectly, any corporation, association or other entity other than the subsidiaries listed in Exhibit 21 to the Registration Statement and subsidiaries acquired after December 31, 2025, as described in the Registration Statement and the Prospectus. The subsidiaries listed in Schedule 2 to this Agreement are the only significant subsidiaries of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 xml:space="preserve">Capitalization. </w:t>
      </w:r>
      <w:r>
        <w:rPr>
          <w:rFonts w:ascii="Times New Roman" w:hAnsi="Times New Roman"/>
          <w:color w:val="000000"/>
          <w:sz w:val="24"/>
        </w:rPr>
        <w:t>The Company has an authorized capitalization as set forth in the Registration Statement, the Pricing Disclosure Package and the Prospectus under the heading “Description of Capital Stock”; all the outstanding shares of capital stock of the Company (including the Shares to be sold by the Selling Stockholders) have been duly authorized and validly issued and are fully paid and non-assessable and are not subject to any pre-emptive or similar rights; except as described in or expressly contemplated by the Registration Statement, the Pricing Disclosure Package and the Prospectus, there are no outstanding rights (including, without limitation, pre-emptive rights), warrants or options to acquire, or instruments convertible into or exchangeable for, any shares of capital stock or other equity interest in the Company or any of its subsidiaries, or any contract, commitment, agreement, understanding or arrangement of any kind relating to the issuance of any capital stock of the Company or any such subsidiary, any such convertible or exchangeable securities or any such rights, warrants or options; the capital stock of the Company conforms in all material respects to the description thereof contained in the Registration Statement, the Pricing Disclosure Package and the Prospectus; and all the outstanding shares of capital stock or other equity interests of each subsidiary of the Company have been duly authorized and validly issued, are fully paid and non-assessable (except (i) as such non-assessability may be affected by Sections 18-607 and 18-804 of the Delaware Limited Liability Company Act or any analogous statute, (ii) in the case of any foreign subsidiary, for directors’ qualifying shares and (iii) as otherwise described in the Registration Statement, the Pricing Disclosure Package and the Prospectus), and are owned directly or indirectly by the Company, free and clear of any lien, charge, encumbrance, security interest, restriction on voting transfer or any other claim of any third party, other than pursuant to that certain Third Amended and Restated Revolving Credit, Guaranty and Security Agreement, dated as of February 27, 2025, among the Company, and each party joined thereto from time to time as a guarantor, as guarantors, the financial institutions from time to time party thereto, as lenders, and PNC Bank, National Association, as the agent for the lenders (the “Credit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 xml:space="preserve">Equity Awards. </w:t>
      </w:r>
      <w:r>
        <w:rPr>
          <w:rFonts w:ascii="Times New Roman" w:hAnsi="Times New Roman"/>
          <w:color w:val="000000"/>
          <w:sz w:val="24"/>
        </w:rPr>
        <w:t>Except as would not, individually or in the aggregate, reasonably be expected to result in material liability to the Company or any of its subsidiaries,</w:t>
      </w:r>
      <w:r>
        <w:rPr>
          <w:rFonts w:ascii="Times New Roman" w:hAnsi="Times New Roman"/>
          <w:color w:val="000000"/>
          <w:sz w:val="20"/>
        </w:rPr>
        <w:t xml:space="preserve"> </w:t>
      </w:r>
      <w:r>
        <w:rPr>
          <w:rFonts w:ascii="Times New Roman" w:hAnsi="Times New Roman"/>
          <w:color w:val="000000"/>
          <w:sz w:val="24"/>
        </w:rPr>
        <w:t>with respect to the stock options (the “Stock Options”) and restricted stock, restricted stock units (“RSUs”) or other equity-based awards (collectively, and together with the Stock Options, “Equity Awards”) granted pursuant to the stock-based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compensation plans of the Company and its subsidiaries (the “Company Stock Plans”), (i) each Stock Option intended to qualify as an “incentive stock option” under Section 422 of the Internal Revenue Code of 1986, as amended (the “Code”) so qualifies, (ii) each grant of a Stock Option or other Equity Award was duly authorized no later than the date on which the grant of such Stock Option or other Equity Award was by its terms to be effective (the “Grant Date”) by all necessary corporate action, including, as applicable, approval by the board of directors of the Company (or a duly constituted and authorized committee thereof) and any required stockholder approval by the necessary number of votes or written consents, and the award agreement governing such grant (if any) was duly executed and delivered by each party thereto, (iii) each such grant was made in accordance with the terms of the Company Stock Plans, the Exchange Act and all other applicable laws and regulatory rules or requirements, including the rules of the New York Stock Exchange and any other exchange on which Company securities are traded, and (iv) each such grant was properly accounted for in accordance with GAAP in the financial statements (including the related notes) of the Company and disclosed in the Company’s filings with the Commission in accordance with the Exchange Act and all other applicable laws. The Company has not granted, and there is no and has been no policy or practice of the Company of granting, Stock Options or other Equity Awards prior to, or otherwise coordinating the grant of Stock Options or other Equity Awards with, the release or other public announcement of material information regarding the Company or its subsidiaries or their results of operations or prospects.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i/>
          <w:color w:val="000000"/>
          <w:sz w:val="24"/>
        </w:rPr>
        <w:t xml:space="preserve">Due Authorization. </w:t>
      </w:r>
      <w:r>
        <w:rPr>
          <w:rFonts w:ascii="Times New Roman" w:hAnsi="Times New Roman"/>
          <w:color w:val="000000"/>
          <w:sz w:val="24"/>
        </w:rPr>
        <w:t>The Company has full right, power and authority to execute and deliver this Agreement and to perform its obligations hereunder; and all action required to be taken for the due and proper authorization, execution and delivery by it of this Agreement and the consummation by it of the transactions contemplated hereby has been duly and validly taken.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i/>
          <w:color w:val="000000"/>
          <w:sz w:val="24"/>
        </w:rPr>
        <w:t xml:space="preserve">Underwriting Agreement. </w:t>
      </w:r>
      <w:r>
        <w:rPr>
          <w:rFonts w:ascii="Times New Roman" w:hAnsi="Times New Roman"/>
          <w:color w:val="000000"/>
          <w:sz w:val="24"/>
        </w:rPr>
        <w:t>This Agreement has been duly authorized, executed and delivered by the Company.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(m) [Reserved]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 </w:t>
      </w:r>
      <w:r>
        <w:rPr>
          <w:rFonts w:ascii="Times New Roman" w:hAnsi="Times New Roman"/>
          <w:i/>
          <w:color w:val="000000"/>
          <w:sz w:val="24"/>
        </w:rPr>
        <w:t xml:space="preserve">No Violation or Default. </w:t>
      </w:r>
      <w:r>
        <w:rPr>
          <w:rFonts w:ascii="Times New Roman" w:hAnsi="Times New Roman"/>
          <w:color w:val="000000"/>
          <w:sz w:val="24"/>
        </w:rPr>
        <w:t>Neither the Company nor any of its subsidiaries is (i) in violation of its charter or by-laws or similar organizational documents;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property or asset of the Company or any of its subsidiaries is subject; or (iii) in violation of any applicable law or statute or any judgment, order, rule or regulation of any court or arbitrator or governmental or regulatory authority having jurisdiction over the Company or its subsidiaries or their properties or assets, except, in the case of clauses (ii) and (iii) above, for any such default or violation that would not, individually or in the aggregate, reasonably be expected to have a Material Adverse Effect.</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(o) </w:t>
      </w:r>
      <w:r>
        <w:rPr>
          <w:rFonts w:ascii="Times New Roman" w:hAnsi="Times New Roman"/>
          <w:i/>
          <w:color w:val="000000"/>
          <w:sz w:val="24"/>
        </w:rPr>
        <w:t xml:space="preserve">No Conflicts. </w:t>
      </w:r>
      <w:r>
        <w:rPr>
          <w:rFonts w:ascii="Times New Roman" w:hAnsi="Times New Roman"/>
          <w:color w:val="000000"/>
          <w:sz w:val="24"/>
        </w:rPr>
        <w:t>The execution, delivery and performance by the Company of this Agreement, and the consummation by the Company of the transactions contemplated by this Agreement,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the Company or any of its subsidiaries pursuant to, any indenture, mortgage, deed of trust, loan agreement or other agreement or instrument to which the Company or any of its subsidiaries is a party or by which the Company or any of its subsidiaries is bound or to which any property, right or asset of the Company or any of its subsidiaries is subject, (ii) result in any violation of the provisions of the charter or by-laws or similar organizational documents of the Company or any of its subsidiaries or (iii) result in the violation of any law or statute or any judgment, order, rule or regulation of any court or arbitrator or governmental or regulatory authority applicable to the Company and its subsidiaries, except, in the case of clauses (i) and (iii) above, for any such conflict, breach, violation, default, lien, charge or encumbrance that would not, individually or in the aggregate, reasonably be expected to have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 </w:t>
      </w:r>
      <w:r>
        <w:rPr>
          <w:rFonts w:ascii="Times New Roman" w:hAnsi="Times New Roman"/>
          <w:i/>
          <w:color w:val="000000"/>
          <w:sz w:val="24"/>
        </w:rPr>
        <w:t xml:space="preserve">No Consents Required. </w:t>
      </w:r>
      <w:r>
        <w:rPr>
          <w:rFonts w:ascii="Times New Roman" w:hAnsi="Times New Roman"/>
          <w:color w:val="000000"/>
          <w:sz w:val="24"/>
        </w:rPr>
        <w:t>No consent, approval, authorization, order, registration or qualification of or with any court or arbitrator or governmental or regulatory authority is required for the execution, delivery and performance by the Company of this Agreement and the consummation by the Company of the transactions contemplated by this Agreement, except for the registration of the Shares under the Securities Act and such consents, approvals, authorizations, orders and registrations or qualifications as may be required by the Financial Industry Regulatory Authority, Inc. (“FINRA”) and under applicable state securities laws in connection with the purchase and distribution of the Shares by the Underwriter.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(q) </w:t>
      </w:r>
      <w:r>
        <w:rPr>
          <w:rFonts w:ascii="Times New Roman" w:hAnsi="Times New Roman"/>
          <w:i/>
          <w:color w:val="000000"/>
          <w:sz w:val="24"/>
        </w:rPr>
        <w:t xml:space="preserve">Legal Proceedings. </w:t>
      </w:r>
      <w:r>
        <w:rPr>
          <w:rFonts w:ascii="Times New Roman" w:hAnsi="Times New Roman"/>
          <w:color w:val="000000"/>
          <w:sz w:val="24"/>
        </w:rPr>
        <w:t>Except as described in the Registration Statement, the Pricing Disclosure Package and the Prospectus, there are no legal, governmental or regulatory investigations, actions, demands, claims, suits, arbitrations, inquiries or proceedings (“Actions”) pending to which the Company or any of its subsidiaries is or, to the knowledge of the Company, may be a party or to which any property of the Company or any of its subsidiaries is or, to the knowledge of the Company, may be the subject that, individually or in the aggregate, if determined adversely to the Company or any of its subsidiaries, could reasonably be expected to have a Material Adverse Effect; to the knowledge of the Company, no such Actions are threatened or contemplated by any governmental or regulatory authority or threatened by others; and (i) there are no current or pending Actions that are required under the Securities Act to be described in the Registration Statement, the Pricing Disclosure Package or the Prospectus that are not so described in the Registration Statement, the Pricing Disclosure Package and the Prospectus and (ii) there are no statutes, regulations or contracts or other documents that are required under the Securities Act to be filed as exhibits to the Registration Statement or described in the Registration Statement, the Pricing Disclosure Package or the Prospectus that are not so filed as exhibits to the Registration Statement or described in the Registration Statement, the Pricing Disclosure Package and the Prospectus.</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 </w:t>
      </w:r>
      <w:r>
        <w:rPr>
          <w:rFonts w:ascii="Times New Roman" w:hAnsi="Times New Roman"/>
          <w:i/>
          <w:color w:val="000000"/>
          <w:sz w:val="24"/>
        </w:rPr>
        <w:t xml:space="preserve">Independent Accountants. </w:t>
      </w:r>
      <w:r>
        <w:rPr>
          <w:rFonts w:ascii="Times New Roman" w:hAnsi="Times New Roman"/>
          <w:color w:val="000000"/>
          <w:sz w:val="24"/>
        </w:rPr>
        <w:t>PricewaterhouseCoopers LLP, who have certified certain financial statements of the Company and its subsidiaries, is an independent registered public accounting firm with respect to the Company and its subsidiaries within the applicable rules and regulations adopted by the Commission and the Public Company Accounting Oversight Board (United States) and as required by the Securities Act. Grant Thornton LLP, who have certified certain financial statements of Innovex Downhole Solutions, Inc. (the “Predecessor”) and its subsidiaries, is an independent registered public accounting firm with respect to the Predecessor and its subsidiaries within the applicable rules and regulations adopted by the Commission and the Public Company Accounting Oversight Board (United States) and as required by the Securities Act.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(s) </w:t>
      </w:r>
      <w:r>
        <w:rPr>
          <w:rFonts w:ascii="Times New Roman" w:hAnsi="Times New Roman"/>
          <w:i/>
          <w:color w:val="000000"/>
          <w:sz w:val="24"/>
        </w:rPr>
        <w:t xml:space="preserve">Title to Real and Personal Property. </w:t>
      </w:r>
      <w:r>
        <w:rPr>
          <w:rFonts w:ascii="Times New Roman" w:hAnsi="Times New Roman"/>
          <w:color w:val="000000"/>
          <w:sz w:val="24"/>
        </w:rPr>
        <w:t>The Company and its subsidiaries have good and marketable title in fee simple to, or have valid rights to lease or otherwise use, all items of real and personal property that are material to the respective businesses of the Company and its subsidiaries, in each case free and clear of all liens, encumbrances, claims and defects and imperfections of title except (i) those that do not materially interfere with the use made and proposed to be made of such property by the Company and its subsidiaries, (ii) liens and encumbrances arising under the Credit Agreement or (iii) those that would not, individually or in the aggregate, reasonably be expected to have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 </w:t>
      </w:r>
      <w:r>
        <w:rPr>
          <w:rFonts w:ascii="Times New Roman" w:hAnsi="Times New Roman"/>
          <w:i/>
          <w:color w:val="000000"/>
          <w:sz w:val="24"/>
        </w:rPr>
        <w:t>Intellectual Property.</w:t>
      </w:r>
      <w:r>
        <w:rPr>
          <w:rFonts w:ascii="Times New Roman" w:hAnsi="Times New Roman"/>
          <w:color w:val="000000"/>
          <w:sz w:val="20"/>
        </w:rPr>
        <w:t xml:space="preserve"> </w:t>
      </w:r>
      <w:r>
        <w:rPr>
          <w:rFonts w:ascii="Times New Roman" w:hAnsi="Times New Roman"/>
          <w:color w:val="000000"/>
          <w:sz w:val="24"/>
        </w:rPr>
        <w:t>(i) The Company and its subsidiaries own or have the right to use all patents, patent applications, trademarks, service marks, trade names, trademark registrations, service mark registrations, domain names and other source indicators, copyrights and copyrightable works, know-how, trade secrets, systems, procedures, proprietary or confidential information and all other worldwide intellectual property, industrial property and proprietary rights (collectively, “Intellectual Property”) that is used in or necessary for the conduct of their respective businesses, except as would not, individually or in the aggregate, reasonably be expected to have a Material Adverse Effect; (ii) the Company’s and its subsidiaries’ conduct of their respective businesses does not infringe, misappropriate or otherwise violate any Intellectual Property of any person in any material respect; (iii) the Company and its subsidiaries have not received any written notice of any claim relating to Intellectual Property that would, individually or in the aggregate, reasonably be expected to have a Material Adverse Effect; and (iv) to the Company’s knowledge, the Intellectual Property of the Company and its subsidiaries is not being infringed, misappropriated or otherwise violated by any person in a manner that would, individually or in the aggregate, reasonably be expected to have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(u) </w:t>
      </w:r>
      <w:r>
        <w:rPr>
          <w:rFonts w:ascii="Times New Roman" w:hAnsi="Times New Roman"/>
          <w:i/>
          <w:color w:val="000000"/>
          <w:sz w:val="24"/>
        </w:rPr>
        <w:t xml:space="preserve">No Undisclosed Relationships. </w:t>
      </w:r>
      <w:r>
        <w:rPr>
          <w:rFonts w:ascii="Times New Roman" w:hAnsi="Times New Roman"/>
          <w:color w:val="000000"/>
          <w:sz w:val="24"/>
        </w:rPr>
        <w:t>No relationship, direct or indirect, exists between or among the Company or any of its subsidiaries, on the one hand, and the directors, officers, stockholders, customers, suppliers or other affiliates of the Company or any of its subsidiaries, on the other, that is required by the Securities Act to be described in each of the Registration Statement and the Prospectus and that is not so described in such documents and in the Pricing Disclosure Package.</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(v) </w:t>
      </w:r>
      <w:r>
        <w:rPr>
          <w:rFonts w:ascii="Times New Roman" w:hAnsi="Times New Roman"/>
          <w:i/>
          <w:color w:val="000000"/>
          <w:sz w:val="24"/>
        </w:rPr>
        <w:t xml:space="preserve">Investment Company Act. </w:t>
      </w:r>
      <w:r>
        <w:rPr>
          <w:rFonts w:ascii="Times New Roman" w:hAnsi="Times New Roman"/>
          <w:color w:val="000000"/>
          <w:sz w:val="24"/>
        </w:rPr>
        <w:t>The Company is not, and as of the Closing Date, will not be, required to register as an “investment company” or an entity “controlled” by an “investment company” within the meaning of the Investment Company Act of 1940, as amended, and the rules and regulations of the Commission thereunder (collectively, the “Investment Company Act”).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(w) </w:t>
      </w:r>
      <w:r>
        <w:rPr>
          <w:rFonts w:ascii="Times New Roman" w:hAnsi="Times New Roman"/>
          <w:i/>
          <w:color w:val="000000"/>
          <w:sz w:val="24"/>
        </w:rPr>
        <w:t xml:space="preserve">Taxes. </w:t>
      </w:r>
      <w:r>
        <w:rPr>
          <w:rFonts w:ascii="Times New Roman" w:hAnsi="Times New Roman"/>
          <w:color w:val="000000"/>
          <w:sz w:val="24"/>
        </w:rPr>
        <w:t>The Company and its subsidiaries have paid all federal, state, local and foreign taxes (other than any taxes that are being contested in good faith by appropriate proceedings and for which adequate reserves have been provided in accordance with GAAP) and filed all tax returns required to be paid or filed through the date hereof, except where the failure to pay or file would not, individually or in the aggregate, reasonably be expected to have a Material Adverse Effect; and except as otherwise disclosed in each of the Registration Statement, the Pricing Disclosure Package and the Prospectus, there is no tax deficiency that has been, or could reasonably be expected to be, asserted against the Company or any of its subsidiaries or any of their respective properties or assets, except for any tax deficiencies as would not, individually or in the aggregate, reasonably be expected to have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 </w:t>
      </w:r>
      <w:r>
        <w:rPr>
          <w:rFonts w:ascii="Times New Roman" w:hAnsi="Times New Roman"/>
          <w:i/>
          <w:color w:val="000000"/>
          <w:sz w:val="24"/>
        </w:rPr>
        <w:t xml:space="preserve">Licenses and Permits. </w:t>
      </w:r>
      <w:r>
        <w:rPr>
          <w:rFonts w:ascii="Times New Roman" w:hAnsi="Times New Roman"/>
          <w:color w:val="000000"/>
          <w:sz w:val="24"/>
        </w:rPr>
        <w:t>The Company and its subsidiaries possess all licenses, sub-licenses, approvals, consents, franchises, certificates, registrations, permits, exemptions, waivers, and other authorizations (“Permits”) issued by, and have made all declarations and filings with, the appropriate federal, state, local or foreign governmental or regulatory authorities that are necessary for the ownership or lease of their respective properties or the conduct of their respective businesses as described in each of the Registration Statement, the Pricing Disclosure Package, and the Prospectus, except where the failure to possess or make the same would not, individually or in the aggregate, reasonably be expected to have a Material Adverse Effect; and except as described in each of the Registration Statement, the Pricing Disclosure Package and the Prospectus, neither the Company nor any of its subsidiaries has received notice of any revocation or modification of any such Permit or has any reason to believe that any such Permit will not be renewed in the ordinary course, except where such revocation, modification or non-renewal would not, individually or in the aggregate, reasonably be expected to have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(y) </w:t>
      </w:r>
      <w:r>
        <w:rPr>
          <w:rFonts w:ascii="Times New Roman" w:hAnsi="Times New Roman"/>
          <w:i/>
          <w:color w:val="000000"/>
          <w:sz w:val="24"/>
        </w:rPr>
        <w:t xml:space="preserve">No Labor Disputes. </w:t>
      </w:r>
      <w:r>
        <w:rPr>
          <w:rFonts w:ascii="Times New Roman" w:hAnsi="Times New Roman"/>
          <w:color w:val="000000"/>
          <w:sz w:val="24"/>
        </w:rPr>
        <w:t>No labor disturbance by or dispute with employees of the Company or any of its subsidiaries exists or, to the knowledge of the Company, is contemplated or threatened, and the Company is not aware of any existing or imminent labor disturbance by, or dispute with, the employees of any of its or its subsidiaries’ principal suppliers, contractors or customers, except as would not have a Material Adverse Effect. Neither the Company nor any of its subsidiaries has received any notice of cancellation or termination with respect to any collective bargaining agreement to which it is a party.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(z) </w:t>
      </w:r>
      <w:r>
        <w:rPr>
          <w:rFonts w:ascii="Times New Roman" w:hAnsi="Times New Roman"/>
          <w:i/>
          <w:color w:val="000000"/>
          <w:sz w:val="24"/>
        </w:rPr>
        <w:t>Certain Environmental Matters</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Except as described in the Registration Statement, the Pricing Disclosure Package and the Prospectus, (i) the Company and its subsidiaries (x) are in compliance with all, and have not violated any, applicable federal,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state, local and foreign laws (including common law), rules, regulations, requirements, decisions, judgments, decrees, orders and other legally enforceable requirements relating to pollution or the protection of human health or safety (to the extent relating to the handling of, or exposure to, Hazardous Materials (defined below)), the environment (including, without limitation, ambient air, surface water, groundwater, land surface or subsurface strata) or natural resources, including, without limitation, such laws, rules, regulations, requirements, decisions, judgments, decrees, orders and other legally enforceable requirements imposing liability or standards of conduct concerning, or relating to the release or threatened release of any pollutants, contaminants, solid or hazardous wastes, materials, substances, or toxic substances, any petroleum or petroleum products, or any polychlorinated biphenyls, per- and polyfluoroalkyl substances, or radioactive materials (collectively, “Hazardous Materials”) or to the manufacture, processing, distribution, use, treatment, storage, disposal, transport, arrangement for disposal or transport, or handling of, or exposure to, Hazardous Materials (collectively, “Environmental Laws”); (y) have received and are in compliance with all, and have not violated any, Permits required of them under any Environmental Laws to conduct their respective businesses; and (z) have not received written notice of any actual or potential liability or obligation under or relating to, or any actual or potential violation of, any Environmental Laws, including for the investigation or remediation of any disposal or release of Hazardous Materials and have no knowledge of any event or condition that would reasonably be expected to result in any such notice; (ii) there are no costs or liabilities associated with Environmental Laws of or relating to the Company or its subsidiaries, except in the case of each of (i) and (ii) above, for any such matter as would not, individually or in the aggregate, reasonably be expected to have a Material Adverse Effect; and (iii) (x) there is no proceeding that is pending, or that is known to be contemplated, against the Company or any of its subsidiaries under any Environmental Laws in which a governmental entity is also a party, other than such proceeding regarding which it is reasonably believed no monetary sanctions of $300,000 or more will be imposed, (y) the Company and its subsidiaries are not aware of any facts or issues regarding compliance with Environmental Laws, or liabilities or other obligations under Environmental Laws or concerning Hazardous Materials, that would, individually or in the aggregate, reasonably be expected to have a Material Adverse Effect, and (z) none of the Company or its subsidiaries anticipates capital expenditures relating to any Environmental Laws that would, individually or in the aggregate, reasonably be expected to have a Material Adverse Effect.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(aa) </w:t>
      </w:r>
      <w:r>
        <w:rPr>
          <w:rFonts w:ascii="Times New Roman" w:hAnsi="Times New Roman"/>
          <w:i/>
          <w:color w:val="000000"/>
          <w:sz w:val="24"/>
        </w:rPr>
        <w:t>Compliance with ERISA</w:t>
      </w:r>
      <w:r>
        <w:rPr>
          <w:rFonts w:ascii="Times New Roman" w:hAnsi="Times New Roman"/>
          <w:color w:val="000000"/>
          <w:sz w:val="24"/>
        </w:rPr>
        <w:t>. (i) Each employee benefit plan, within the meaning of Section 3(3) of the Employee Retirement Income Security Act of 1974, as amended (“ERISA”), that is sponsored, maintained, contributed to or has been entered into by the Company or any of its subsidiaries or with respect to which the Company, any of its subsidiaries, or any member of their respective “Controlled Group” (defined as any entity, whether or not incorporated, that is or was at the relevant time under common control with the Company within the meaning of Section 4001(a)(14) of ERISA or any entity that would be regarded as a single employer with the Company under Section 414(b),(c),(m) or (o) of the Internal Revenue Code of 1986, as amended) has any liability, whether actual or contingent (each, a “Plan”) has been maintained, funded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administered in compliance with its terms and the requirements of any applicable laws,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each Plan that is intended to be qualified under Section 401(a) of the Code is so qualified, and nothing has occurred, whether by action or by failure to act, which would cause the loss of such qualification; (iv) neither the Company nor any member of its Controlled Group has incurred, nor reasonably expects to incur, any liability under Title IV of ERISA (other than contributions to the Plan or premiums to the Pension Benefit Guaranty Corporation, in the ordinary course and without default) in respect of a Plan; and (v) none of the following events has occurred or is reasonably likely to occur: (A) a material increase in the aggregate amount of contributions required to be made to all Plans by the Company or its Controlled Group affiliates in the current fiscal year of the Company and its Controlled Group affiliates compared to the amount of such contributions made in the Company’s and its Controlled Group affiliates’ most recently completed fiscal year; or (B) a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except in each case with respect to the events or conditions set forth in (i) through (v) hereof, as would not, individually or in the aggregate, have a Material Adverse Effect. No Plan is, and neither the Company nor any member of its Controlled Group sponsors, maintains or contributes to or has or may have any liability (actual or contingent) with respect to: (a) a plan that is subject to the funding rules of Section 412 of the Code or Section 302 of ERISA or that is subject to Title IV of ERISA, or (b) a multiemployer plan within the meaning of Section 3(37) of ERISA or Section 4001(c)(3) of ERISA.</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(bb) </w:t>
      </w:r>
      <w:r>
        <w:rPr>
          <w:rFonts w:ascii="Times New Roman" w:hAnsi="Times New Roman"/>
          <w:i/>
          <w:color w:val="000000"/>
          <w:sz w:val="24"/>
        </w:rPr>
        <w:t>Disclosure Controls</w:t>
      </w:r>
      <w:r>
        <w:rPr>
          <w:rFonts w:ascii="Times New Roman" w:hAnsi="Times New Roman"/>
          <w:color w:val="000000"/>
          <w:sz w:val="24"/>
        </w:rPr>
        <w:t>. The Company and its subsidiaries maintain an effective system of “disclosure controls and procedures” (as defined in Rule 13a-15(e) of the Exchange Act) that complies with the applicable requirements of the Exchange Act and that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management as appropriate to allow timely decisions regarding required disclosure. The Company and its subsidiaries have carried out evaluations of the effectiveness of their disclosure controls and procedures as required by Rule 13a-15 of the Exchange Act.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(cc) </w:t>
      </w:r>
      <w:r>
        <w:rPr>
          <w:rFonts w:ascii="Times New Roman" w:hAnsi="Times New Roman"/>
          <w:i/>
          <w:color w:val="000000"/>
          <w:sz w:val="24"/>
        </w:rPr>
        <w:t xml:space="preserve">Accounting Controls. </w:t>
      </w:r>
      <w:r>
        <w:rPr>
          <w:rFonts w:ascii="Times New Roman" w:hAnsi="Times New Roman"/>
          <w:color w:val="000000"/>
          <w:sz w:val="24"/>
        </w:rPr>
        <w:t>The Company and its subsidiaries maintain systems of “internal control over financial reporting” (as defined in Rule 13a-15(f) of the Exchange Act) that comply with the requirements of the Exchange Act and have been designed by, or under the supervision of, their respective principal executive and principal financial officers, or persons performing similar functions, to provide reasonable assurance regarding the reliability of financial reporting and the preparation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financial statements for external purposes in accordance with GAAP. The Company and its subsidiaries maintain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or incorporated by reference in the Registration Statement, the Prospectus and the Pricing Disclosure Package fairly presents the information called for in all material respects and is prepared in accordance with the Commission’s rules and guidelines applicable thereto. Except as disclosed in the Registration Statement, the Pricing Disclosure Package and the Prospectus, there are no material weaknesses in the Company’s internal controls. The Company’s auditors and the Audit Committee of the Board of Directors of the Company have been advised of: (i) all significant deficiencies and material weaknesses in the design or operation of internal controls over financial reporting which have adversely affected or are reasonably likely to adversely affect the Company’s ability to record, process, summarize and report financial information; and (ii) any fraud, whether or not material, that involves management or other employees who have a significant role in the Company’s internal controls over financial reporting.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(dd) </w:t>
      </w:r>
      <w:r>
        <w:rPr>
          <w:rFonts w:ascii="Times New Roman" w:hAnsi="Times New Roman"/>
          <w:i/>
          <w:color w:val="000000"/>
          <w:sz w:val="24"/>
        </w:rPr>
        <w:t>eXtensible Business Reporting Language</w:t>
      </w:r>
      <w:r>
        <w:rPr>
          <w:rFonts w:ascii="Times New Roman" w:hAnsi="Times New Roman"/>
          <w:color w:val="000000"/>
          <w:sz w:val="24"/>
        </w:rPr>
        <w:t>. The interactive data in eXtensible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(ee) </w:t>
      </w:r>
      <w:r>
        <w:rPr>
          <w:rFonts w:ascii="Times New Roman" w:hAnsi="Times New Roman"/>
          <w:i/>
          <w:color w:val="000000"/>
          <w:sz w:val="24"/>
        </w:rPr>
        <w:t>Cybersecurity; Data Protection.</w:t>
      </w:r>
      <w:r>
        <w:rPr>
          <w:rFonts w:ascii="Times New Roman" w:hAnsi="Times New Roman"/>
          <w:color w:val="000000"/>
          <w:sz w:val="20"/>
        </w:rPr>
        <w:t xml:space="preserve"> </w:t>
      </w:r>
      <w:r>
        <w:rPr>
          <w:rFonts w:ascii="Times New Roman" w:hAnsi="Times New Roman"/>
          <w:color w:val="000000"/>
          <w:sz w:val="24"/>
        </w:rPr>
        <w:t>The Company and its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its subsidiaries as currently conducted, free and clear, to the knowledge of the Company, of all material bugs, errors, defects, Trojan horses, time bombs, malware and other corruptants. The Company and its subsidiaries have implemented and maintained commercially reasonable controls, policies, procedures, and safeguards designed to maintain and protect their material confidential information and the integrity, continuous operation, redundancy and security of all IT Systems and data (including all personal, personally identifiable, sensitive, confidential or regulated data (“Personal Data”)) used in connection with their businesses, and, to the knowledge of the Company, there have been no breaches, violations, outages or unauthorized uses of or accesses to same, except for those that have been remedied without material cost or liability or the duty to notify any other person, nor any incidents under internal review or investigations relating to the same. Except as would not reasonably be expected, individually or in the aggregate, to have a Material Adverse Effect, the Company and its subsidiaries are presently in material compliance with 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applicable laws or statutes and all judgments, orders, rules and regulations of any applicable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w:t>
      </w:r>
      <w:r>
        <w:rPr>
          <w:rFonts w:ascii="Times New Roman" w:hAnsi="Times New Roman"/>
          <w:color w:val="000000"/>
          <w:sz w:val="22"/>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(ff) </w:t>
      </w:r>
      <w:r>
        <w:rPr>
          <w:rFonts w:ascii="Times New Roman" w:hAnsi="Times New Roman"/>
          <w:i/>
          <w:color w:val="000000"/>
          <w:sz w:val="24"/>
        </w:rPr>
        <w:t xml:space="preserve">Insurance. </w:t>
      </w:r>
      <w:r>
        <w:rPr>
          <w:rFonts w:ascii="Times New Roman" w:hAnsi="Times New Roman"/>
          <w:color w:val="000000"/>
          <w:sz w:val="24"/>
        </w:rPr>
        <w:t>The Company and its subsidiaries have insurance covering their respective properties, operations, personnel and businesses, including business interruption insurance, which insurance is in amounts and insures against such losses and risks as are prudent and customary for companies engaged in the business in which the Company and its subsidiaries are engaged; and neither the Company nor any of its subsidiaries has (i) received written notice from any insurer or agent of such insurer that material capital improvements or other material expenditures are required or necessary to be made in order to continue such insurance or (ii) any reason to believe that it will not be able to renew its existing insurance coverage as and when such coverage expires or to obtain similar coverage at a cost that would not have a Material Adverse Effect.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(gg) </w:t>
      </w:r>
      <w:r>
        <w:rPr>
          <w:rFonts w:ascii="Times New Roman" w:hAnsi="Times New Roman"/>
          <w:i/>
          <w:color w:val="000000"/>
          <w:sz w:val="24"/>
        </w:rPr>
        <w:t xml:space="preserve">No Unlawful Payments. </w:t>
      </w:r>
      <w:r>
        <w:rPr>
          <w:rFonts w:ascii="Times New Roman" w:hAnsi="Times New Roman"/>
          <w:color w:val="000000"/>
          <w:sz w:val="24"/>
        </w:rPr>
        <w:t>Neither the Company nor any of its subsidiaries, nor any director or officer of the Company or any of its subsidiaries nor, to the knowledge of the Company, any employee, agent, affiliate or other person, in each case acting on behalf of the Company or any of its subsidiaries has</w:t>
      </w:r>
      <w:r>
        <w:rPr>
          <w:rFonts w:ascii="Times New Roman" w:hAnsi="Times New Roman"/>
          <w:color w:val="000000"/>
          <w:sz w:val="20"/>
        </w:rPr>
        <w:t xml:space="preserve"> </w:t>
      </w:r>
      <w:r>
        <w:rPr>
          <w:rFonts w:ascii="Times New Roman" w:hAnsi="Times New Roman"/>
          <w:color w:val="000000"/>
          <w:sz w:val="24"/>
        </w:rPr>
        <w:t>(i) used any corporate funds for any unlawful contribution, gift or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to the extent applicable, the Bribery Act 2010 of the United Kingdom or any other applicable anti-bribery or anti-corruption law; or (iv) made, offered, agreed, requested or taken an act in furtherance of any unlawful bribe or other unlawful benefit, including, without limitation, any unlawful rebate, payoff, influence payment or kickback or other unlawful payment or benefit. The Company and its subsidiaries have instituted, maintain and enforce, and will continue to maintain and enforce policies and procedures reasonably designed to promote and ensure compliance with all applicable anti-bribery and anti-corruption laws.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(hh) </w:t>
      </w:r>
      <w:r>
        <w:rPr>
          <w:rFonts w:ascii="Times New Roman" w:hAnsi="Times New Roman"/>
          <w:i/>
          <w:color w:val="000000"/>
          <w:sz w:val="24"/>
        </w:rPr>
        <w:t>Compliance with Anti-Money Laundering Laws</w:t>
      </w:r>
      <w:r>
        <w:rPr>
          <w:rFonts w:ascii="Times New Roman" w:hAnsi="Times New Roman"/>
          <w:color w:val="000000"/>
          <w:sz w:val="24"/>
        </w:rPr>
        <w:t>. The operations of the Company and its subsidiaries are and have been conducted in compliance with applicable financial recordkeeping and reporting requirements, including those of the Currency and Foreign Transactions Reporting Act of 1970, as amended, and to the extent applicable, money laundering statutes of all jurisdictions where the Company or any of its subsidiaries conducts business, and the rules and regulations thereunder (collectively, the “Anti-Money Laundering Laws”), and no action, suit or proceeding by or before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court or governmental agency, authority or body or any arbitrator involving the Company or any of its subsidiaries with respect to the Anti-Money Laundering Laws is pending or, to the knowledge of the Company, threatened.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(ii) </w:t>
      </w:r>
      <w:r>
        <w:rPr>
          <w:rFonts w:ascii="Times New Roman" w:hAnsi="Times New Roman"/>
          <w:i/>
          <w:color w:val="000000"/>
          <w:sz w:val="24"/>
        </w:rPr>
        <w:t xml:space="preserve">No Conflicts with Sanctions Laws. </w:t>
      </w:r>
      <w:r>
        <w:rPr>
          <w:rFonts w:ascii="Times New Roman" w:hAnsi="Times New Roman"/>
          <w:color w:val="000000"/>
          <w:sz w:val="24"/>
        </w:rPr>
        <w:t>Neither the Company nor any of its subsidiaries, directors, officers or employees, nor, to the knowledge of the Company, any agent, affiliate or other person, in each case acting on behalf of the Company or any of its subsidiaries is currently the subject or the target of any sanctions administered or enforced by the U.S. government (including, without limitation, the Office of Foreign Assets Control of the U.S. Department of the Treasury (“OFAC”) or the U.S. Department of State and including, without limitation, the designation as a “specially designated national” or “blocked person”), the United Nations Security Council (“UNSC”), the European Union, or His Majesty’s Treasury (“HMT”) (collectively, “Sanctions”), nor is the Company or any of its subsidiaries located, organized or resident in a country or territory that is the subject or target of comprehensive Sanctions (currently, the Crimea Region of Ukraine, the non-government controlled areas of the Zaporizhzhia and Kherson Regions of Ukraine, the so-called Donetsk People’s Republic, the so-called Luhansk People’s Republic, Cuba, Iran and North Korea) (each, a “Sanctioned Country”). Since April 24, 2019, the Company and its subsidiaries have not knowingly engaged in and are not now knowingly engaged in any dealings or transactions with any person that at the time of the dealing or transaction is or was the subject or the target of Sanctions or with any Sanctioned Country.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(jj) </w:t>
      </w:r>
      <w:r>
        <w:rPr>
          <w:rFonts w:ascii="Times New Roman" w:hAnsi="Times New Roman"/>
          <w:i/>
          <w:color w:val="000000"/>
          <w:sz w:val="24"/>
        </w:rPr>
        <w:t>No Restrictions on Subsidiaries</w:t>
      </w:r>
      <w:r>
        <w:rPr>
          <w:rFonts w:ascii="Times New Roman" w:hAnsi="Times New Roman"/>
          <w:color w:val="000000"/>
          <w:sz w:val="24"/>
        </w:rPr>
        <w:t>. No subsidiary of the Company is currently prohibited, directly or indirectly, under any agreement or other instrument to which it is a party or is subject, from paying any dividends to the Company, from making any other distribution on such subsidiary’s capital stock or similar ownership interest to the Company, from repaying to the Company any loans or advances to such subsidiary from the Company or from transferring any of such subsidiary’s properties or assets to the Company.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(kk) </w:t>
      </w:r>
      <w:r>
        <w:rPr>
          <w:rFonts w:ascii="Times New Roman" w:hAnsi="Times New Roman"/>
          <w:i/>
          <w:color w:val="000000"/>
          <w:sz w:val="24"/>
        </w:rPr>
        <w:t xml:space="preserve">No Broker’s Fees. </w:t>
      </w:r>
      <w:r>
        <w:rPr>
          <w:rFonts w:ascii="Times New Roman" w:hAnsi="Times New Roman"/>
          <w:color w:val="000000"/>
          <w:sz w:val="24"/>
        </w:rPr>
        <w:t>Neither the Company nor any of its subsidiaries is a party to any contract, agreement or understanding with any person (other than this Agreement) that would give rise to a valid claim against any of them or the Underwriter for a brokerage commission, finder’s fee or like payment in connection with the offering and sale of the Shares.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(ll) </w:t>
      </w:r>
      <w:r>
        <w:rPr>
          <w:rFonts w:ascii="Times New Roman" w:hAnsi="Times New Roman"/>
          <w:i/>
          <w:color w:val="000000"/>
          <w:sz w:val="24"/>
        </w:rPr>
        <w:t>No Registration Rights</w:t>
      </w:r>
      <w:r>
        <w:rPr>
          <w:rFonts w:ascii="Times New Roman" w:hAnsi="Times New Roman"/>
          <w:color w:val="000000"/>
          <w:sz w:val="24"/>
        </w:rPr>
        <w:t>. Except as disclosed in the Registration Statement, the Prospectus and the Pricing Disclosure Package, which rights have been validly waived or complied with, no person has the right to require the Company or any of its subsidiaries to register any securities for sale under the Securities Act by reason of the filing of the Registration Statement with the Commission or, to the knowledge of the Company, the sale of the Shares to be sold by the Selling Stockholders hereunder.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(mm) </w:t>
      </w:r>
      <w:r>
        <w:rPr>
          <w:rFonts w:ascii="Times New Roman" w:hAnsi="Times New Roman"/>
          <w:i/>
          <w:color w:val="000000"/>
          <w:sz w:val="24"/>
        </w:rPr>
        <w:t xml:space="preserve">No Stabilization. </w:t>
      </w:r>
      <w:r>
        <w:rPr>
          <w:rFonts w:ascii="Times New Roman" w:hAnsi="Times New Roman"/>
          <w:color w:val="000000"/>
          <w:sz w:val="24"/>
        </w:rPr>
        <w:t>Neither the Company nor any of its subsidiaries or, to the knowledge of the Company, any of its affiliates has taken, directly or indirectly,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action designed to or that could reasonably be expected to cause or result in any stabilization or manipulation of the price of the Shares.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(nn) </w:t>
      </w:r>
      <w:r>
        <w:rPr>
          <w:rFonts w:ascii="Times New Roman" w:hAnsi="Times New Roman"/>
          <w:i/>
          <w:color w:val="000000"/>
          <w:sz w:val="24"/>
        </w:rPr>
        <w:t xml:space="preserve">Forward-Looking Statements. </w:t>
      </w:r>
      <w:r>
        <w:rPr>
          <w:rFonts w:ascii="Times New Roman" w:hAnsi="Times New Roman"/>
          <w:color w:val="000000"/>
          <w:sz w:val="24"/>
        </w:rPr>
        <w:t>No forward-looking statement (within the meaning of Section 27A of the Securities Act and Section 21E of the Exchange Act) included or incorporated by reference in any of the Registration Statement, the Pricing Disclosure Package or the Prospectus has been made or reaffirmed without a reasonable basis or has been disclosed other than in good faith.</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(oo) </w:t>
      </w:r>
      <w:r>
        <w:rPr>
          <w:rFonts w:ascii="Times New Roman" w:hAnsi="Times New Roman"/>
          <w:i/>
          <w:color w:val="000000"/>
          <w:sz w:val="24"/>
        </w:rPr>
        <w:t xml:space="preserve">Statistical and Market Data. </w:t>
      </w:r>
      <w:r>
        <w:rPr>
          <w:rFonts w:ascii="Times New Roman" w:hAnsi="Times New Roman"/>
          <w:color w:val="000000"/>
          <w:sz w:val="24"/>
        </w:rPr>
        <w:t>Nothing has come to the attention of the Company that has caused the Company to believe that the statistical and market-related data included or incorporated by reference in each of the Registration Statement, the Pricing Disclosure Package and the Prospectus is not based on or derived from sources that are reliable and accurate in all material respects.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(pp) </w:t>
      </w:r>
      <w:r>
        <w:rPr>
          <w:rFonts w:ascii="Times New Roman" w:hAnsi="Times New Roman"/>
          <w:i/>
          <w:color w:val="000000"/>
          <w:sz w:val="24"/>
        </w:rPr>
        <w:t>Sarbanes-Oxley Act</w:t>
      </w:r>
      <w:r>
        <w:rPr>
          <w:rFonts w:ascii="Times New Roman" w:hAnsi="Times New Roman"/>
          <w:color w:val="000000"/>
          <w:sz w:val="24"/>
        </w:rPr>
        <w:t>. 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(the “Sarbanes-Oxley Act”), including Section 402 related to loans and Sections 302 and 906 related to certifications.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(qq) </w:t>
      </w:r>
      <w:r>
        <w:rPr>
          <w:rFonts w:ascii="Times New Roman" w:hAnsi="Times New Roman"/>
          <w:i/>
          <w:color w:val="000000"/>
          <w:sz w:val="24"/>
        </w:rPr>
        <w:t>Status under the Securities Act</w:t>
      </w:r>
      <w:r>
        <w:rPr>
          <w:rFonts w:ascii="Times New Roman" w:hAnsi="Times New Roman"/>
          <w:color w:val="000000"/>
          <w:sz w:val="24"/>
        </w:rPr>
        <w:t xml:space="preserve">. At the time of filing the Registration Statement and any post-effective amendment thereto, at the earliest time thereafter that the Company or any offering participant made a </w:t>
      </w:r>
      <w:r>
        <w:rPr>
          <w:rFonts w:ascii="Times New Roman" w:hAnsi="Times New Roman"/>
          <w:i/>
          <w:color w:val="000000"/>
          <w:sz w:val="24"/>
        </w:rPr>
        <w:t>bona fide</w:t>
      </w:r>
      <w:r>
        <w:rPr>
          <w:rFonts w:ascii="Times New Roman" w:hAnsi="Times New Roman"/>
          <w:color w:val="000000"/>
          <w:sz w:val="20"/>
        </w:rPr>
        <w:t xml:space="preserve"> </w:t>
      </w:r>
      <w:r>
        <w:rPr>
          <w:rFonts w:ascii="Times New Roman" w:hAnsi="Times New Roman"/>
          <w:color w:val="000000"/>
          <w:sz w:val="24"/>
        </w:rPr>
        <w:t>offer (within the meaning of Rule 164(h)(2) under the Securities Act) of the Shares and at the date hereof, the Company was not and is not an “ineligible issuer,” as defined in Rule 405 under the Securities Act.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(rr) </w:t>
      </w:r>
      <w:r>
        <w:rPr>
          <w:rFonts w:ascii="Times New Roman" w:hAnsi="Times New Roman"/>
          <w:i/>
          <w:color w:val="000000"/>
          <w:sz w:val="24"/>
        </w:rPr>
        <w:t xml:space="preserve">No Ratings. </w:t>
      </w:r>
      <w:r>
        <w:rPr>
          <w:rFonts w:ascii="Times New Roman" w:hAnsi="Times New Roman"/>
          <w:color w:val="000000"/>
          <w:sz w:val="24"/>
        </w:rPr>
        <w:t>There are (and prior to the Closing Date, will be) no debt securities, convertible securities or preferred stock issued or guaranteed by the Company or any of its subsidiaries that are rated by a “nationally recognized statistical rating organization”, as such term is defined in Section 3(a)(62) under the Exchange Act.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4. </w:t>
      </w:r>
      <w:r>
        <w:rPr>
          <w:rFonts w:ascii="Times New Roman" w:hAnsi="Times New Roman"/>
          <w:color w:val="000000"/>
          <w:sz w:val="24"/>
          <w:u w:val="single"/>
        </w:rPr>
        <w:t>Representations and Warranties of the Selling Stockholders</w:t>
      </w:r>
      <w:r>
        <w:rPr>
          <w:rFonts w:ascii="Times New Roman" w:hAnsi="Times New Roman"/>
          <w:color w:val="000000"/>
          <w:sz w:val="24"/>
        </w:rPr>
        <w:t>. Each of the Selling Stockholders severally and not jointly represents and warrants to the Underwriter and the Company that: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Required Consents; Authority</w:t>
      </w:r>
      <w:r>
        <w:rPr>
          <w:rFonts w:ascii="Times New Roman" w:hAnsi="Times New Roman"/>
          <w:color w:val="000000"/>
          <w:sz w:val="24"/>
        </w:rPr>
        <w:t>. All consents, approvals, authorizations and orders necessary for the execution and delivery by such Selling Stockholder of this Agreement and the Power of Attorney and the Custody Agreement (each as defined below) hereinafter referred to, and for the sale and delivery of the Shares to be sold by such Selling Stockholder hereunder, have been obtained; and such Selling Stockholder has full right, power and authority to enter into this Agreement, the Power of Attorney and the Custody Agreement and to sell, assign, transfer and deliver the Shares to be sold by such Selling Stockholder hereunder; this Agreement, the Power of Attorney and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Custody Agreement have each been duly authorized, executed and delivered by such Selling Stockholder.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No Conflicts</w:t>
      </w:r>
      <w:r>
        <w:rPr>
          <w:rFonts w:ascii="Times New Roman" w:hAnsi="Times New Roman"/>
          <w:color w:val="000000"/>
          <w:sz w:val="24"/>
        </w:rPr>
        <w:t>. The execution, delivery and performance by such Selling Stockholder of this Agreement, the Power of Attorney and the Custody Agreement, the sale of the Shares to be sold by such Selling Stockholder and the consummation by such Selling Stockholder of the transactions contemplated herein or therein will not (i) conflict with or result in a breach or violation of any of the terms or provisions of, or constitute a default under, result in the termination, modification or acceleration of, or result in the creation or imposition of any lien, charge or encumbrance upon any property, right or asset of such Selling Stockholder pursuant to, any indenture, mortgage, deed of trust, loan agreement or other agreement or instrument to which such Selling Stockholder is a party or by which such Selling Stockholder is bound or to which any of the property, right or asset of such Selling Stockholder is subject, (ii) result in any violation of the provisions of the charter or by-laws or similar organizational documents of such Selling Stockholder or (iii) result in the violation of any law or statute or any judgment, order, rule or regulation of any court or arbitrator or governmental or regulatory agency, except in the cases of clauses (i) and (iii) as would not, individually or in the aggregate, reasonably be expected to have a material adverse effect on the ability of such Selling Stockholder to consummate the transactions contemplated by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Title to Shares. </w:t>
      </w:r>
      <w:r>
        <w:rPr>
          <w:rFonts w:ascii="Times New Roman" w:hAnsi="Times New Roman"/>
          <w:color w:val="000000"/>
          <w:sz w:val="24"/>
        </w:rPr>
        <w:t>Such Selling Stockholder has good and valid title to the Shares to be sold at the Closing Date by such Selling Stockholder hereunder, free and clear of all liens, encumbrances, equities or adverse claims; such Selling Stockholder will have, immediately prior to the Closing Date good and valid title to the Shares to be sold at the Closing Date by such Selling Stockholder, free and clear of all liens, encumbrances, equities or adverse claims; and, upon delivery of the certificates representing such Shares and payment therefor pursuant hereto, good and valid title to such Shares, free and clear of all liens, encumbrances, equities or adverse claims, will pass to the Underwriter.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No Stabilization. </w:t>
      </w:r>
      <w:r>
        <w:rPr>
          <w:rFonts w:ascii="Times New Roman" w:hAnsi="Times New Roman"/>
          <w:color w:val="000000"/>
          <w:sz w:val="24"/>
        </w:rPr>
        <w:t>Neither the Selling Stockholders nor, to their knowledge, any of their affiliates have taken or will take, directly or indirectly, any action designed to or that could reasonably be expected to cause or result in any stabilization or manipulation of the price of the Shares.</w:t>
      </w:r>
    </w:p>
    <w:p>
      <w:pPr>
        <w:pStyle w:val="TextBody"/>
        <w:bidi w:val="0"/>
        <w:spacing w:before="0" w:after="240"/>
        <w:jc w:val="left"/>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Pricing Disclosure Package</w:t>
      </w:r>
      <w:r>
        <w:rPr>
          <w:rFonts w:ascii="Times New Roman" w:hAnsi="Times New Roman"/>
          <w:color w:val="000000"/>
          <w:sz w:val="24"/>
        </w:rPr>
        <w:t xml:space="preserve">. The Pricing Disclosure Package, at the Applicable Time did not, and as of the Closing Date,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Selling Stockholder makes no representation or warranty with respect to any statements or omissions made in reliance upon and in conformity with information relating to the Underwriter furnished to the Company in writing by the Underwriter expressly for use in such Pricing Disclosure Package, it being understood and agreed that the only such information furnished by the Underwriter consists of the information described as such in Section 9(c) hereof. The preceding sentence applies only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to such information furnished to the Company by or on behalf of such Selling Stockholder specifically for use in the Pricing Disclosure Package, it being understood and agreed that the only such information furnished by such Selling Stockholder consists of the information described in Section 9(b) hereof.</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 xml:space="preserve">Issuer Free Writing Prospectus and Written Testing-the-Waters Communication. </w:t>
      </w:r>
      <w:r>
        <w:rPr>
          <w:rFonts w:ascii="Times New Roman" w:hAnsi="Times New Roman"/>
          <w:color w:val="000000"/>
          <w:sz w:val="24"/>
        </w:rPr>
        <w:t>Other than the Registration Statement, the Preliminary Prospectus and the Prospectus, such Selling Stockholder (including its agents and representatives, other than the Underwriter in its capacity as such) has not prepared, made, used, authorized, approved or referred to and will not prepare, make, use, authorize, approve or refer to any Issuer Free Writing Prospectus or Written Testing-the-Waters Communication, other than (i) any document not constituting a prospectus pursuant to Section 2(a)(10)(a) of the Securities Act or Rule 134 under the Securities Act or (ii) the documents listed on Annex A or Annex B hereto, each electronic road show and any other written communications approved in writing in advance by the Company and the Underwriter.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 xml:space="preserve">Registration Statement and Prospectus. </w:t>
      </w:r>
      <w:r>
        <w:rPr>
          <w:rFonts w:ascii="Times New Roman" w:hAnsi="Times New Roman"/>
          <w:color w:val="000000"/>
          <w:sz w:val="24"/>
        </w:rPr>
        <w:t xml:space="preserve">As of the applicable effective date of the Registration Statement and any post-effective amendment thereto, the Registration Statement and any such post-effective amendment complied and will comply in all material respects with the Securities Act, and did not and will not contain any untrue statement of a material fact or omit to state a material fact required to be stated therein or necessary in order to make the statements therein not misleading; and as of the date of the Prospectus and any amendment or supplement thereto and as of the Closing Date, the Prospectus will not contain any untrue statement of a material fact or omit to state a material fact necessary in order to make the statements therein, in the light of the circumstances under which they were made, not misleading;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such Selling Stockholder makes no representation or warranty with respect to any statements or omissions made in reliance upon and in conformity with information relating to the Underwriter furnished to the Company in writing by the Underwriter expressly for use in the Registration Statement, the Pricing Disclosure Package and the Prospectus and any amendment or supplement thereto, it being understood and agreed that the only such information furnished by the Underwriter consists of the information described as such in Section 9(c) hereof. The preceding sentence applies only to such information furnished to the Company by or on behalf of such Selling Stockholder specifically for use in the Registration Statement, the Pricing Disclosure Package and the Prospectus and any amendment or supplement thereto, it being understood and agreed that the only such information furnished by such Selling Stockholder consists of the information described in Section 9(b)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Material Information</w:t>
      </w:r>
      <w:r>
        <w:rPr>
          <w:rFonts w:ascii="Times New Roman" w:hAnsi="Times New Roman"/>
          <w:color w:val="000000"/>
          <w:sz w:val="24"/>
        </w:rPr>
        <w:t>. As of the date hereof and as of the Closing Date, the sale of the Shares by such Selling Stockholder is not and will not be prompted by any material information concerning the Company which is not set forth in the Registration Statement, the Pricing Disclosure Package or the Prospectus.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No Unlawful Payments.</w:t>
      </w:r>
      <w:r>
        <w:rPr>
          <w:rFonts w:ascii="Times New Roman" w:hAnsi="Times New Roman"/>
          <w:color w:val="000000"/>
          <w:sz w:val="20"/>
        </w:rPr>
        <w:t xml:space="preserve"> </w:t>
      </w:r>
      <w:r>
        <w:rPr>
          <w:rFonts w:ascii="Times New Roman" w:hAnsi="Times New Roman"/>
          <w:color w:val="000000"/>
          <w:sz w:val="24"/>
        </w:rPr>
        <w:t>Neither such Selling Stockholder nor any of its subsidiaries, nor any director, officer or employee of such Selling Stockholder or any of</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its subsidiaries nor, to the knowledge of such Selling Stockholder, any agent, affiliate or other person associated with or acting on behalf of such Selling Stockholder or any of its subsidiaries has (i) used any corporate funds for any unlawful contribution, gift, entertainment or other unlawful expense relating to political activity; (ii) made or taken an act in furtherance of an offer, promise or authorization of any direct or indirect unlawful payment or benefit to any foreign or domestic government official or employee, including of any government-owned or controlled entity or of a public international organization, or any person acting in an official capacity for or on behalf of any of the foregoing, or any political party or party official or candidate for political office; (iii) violated or is in violation of any provision of the Foreign Corrupt Practices Act of 1977, as amended, or any applicable law or regulation implementing the OECD Convention on Combating Bribery of Foreign Public Officials in International Business Transactions, or committed an offence under the Bribery Act 2010 of the United Kingdom or any other applicable anti-bribery or anti-corruption law; or (iv) made, offered, agreed, requested or taken an act in furtherance of any unlawful bribe or other unlawful benefit, including, without limitation, any rebate, payoff, influence payment, kickback or other unlawful or improper payment or benefit. Such Selling Stockholder and its subsidiaries have instituted, maintain and enforce, and will continue to maintain and enforce policies and procedures designed to promote and ensure compliance with all applicable anti-bribery and anti-corruption laws.</w:t>
      </w:r>
    </w:p>
    <w:p>
      <w:pPr>
        <w:pStyle w:val="TextBody"/>
        <w:bidi w:val="0"/>
        <w:spacing w:before="0" w:after="240"/>
        <w:jc w:val="left"/>
        <w:rPr/>
      </w:pPr>
      <w:r>
        <w:rPr>
          <w:rFonts w:ascii="Times New Roman" w:hAnsi="Times New Roman"/>
          <w:color w:val="000000"/>
          <w:sz w:val="24"/>
        </w:rPr>
        <w:t>(j)</w:t>
      </w:r>
      <w:r>
        <w:rPr>
          <w:color w:val="000000"/>
        </w:rPr>
        <w:t xml:space="preserve"> </w:t>
      </w:r>
      <w:r>
        <w:rPr>
          <w:rFonts w:ascii="Times New Roman" w:hAnsi="Times New Roman"/>
          <w:i/>
          <w:color w:val="000000"/>
          <w:sz w:val="24"/>
        </w:rPr>
        <w:t>Compliance with Anti-Money Laundering Laws</w:t>
      </w:r>
      <w:r>
        <w:rPr>
          <w:rFonts w:ascii="Times New Roman" w:hAnsi="Times New Roman"/>
          <w:color w:val="000000"/>
          <w:sz w:val="24"/>
        </w:rPr>
        <w:t>. The operations of such Selling Stockholder and its subsidiaries are and have been conducted at all times in compliance with applicable financial recordkeeping and reporting requirements, including those of the Anti-Money Laundering Laws, and no action, suit or proceeding by or before any court or governmental agency, authority or body or any arbitrator involving such Selling Stockholder or any of its subsidiaries with respect to the Anti-Money Laundering Laws is pending or, to the knowledge of such Selling Stockholder, threatened.</w:t>
      </w:r>
    </w:p>
    <w:p>
      <w:pPr>
        <w:pStyle w:val="TextBody"/>
        <w:bidi w:val="0"/>
        <w:spacing w:before="0" w:after="240"/>
        <w:jc w:val="left"/>
        <w:rPr>
          <w:rFonts w:ascii="Times New Roman" w:hAnsi="Times New Roman"/>
          <w:sz w:val="20"/>
        </w:rPr>
      </w:pPr>
      <w:r>
        <w:rPr>
          <w:rFonts w:ascii="Times New Roman" w:hAnsi="Times New Roman"/>
          <w:color w:val="000000"/>
          <w:sz w:val="24"/>
        </w:rPr>
        <w:t>(k)</w:t>
      </w:r>
      <w:r>
        <w:rPr>
          <w:rFonts w:ascii="Times New Roman" w:hAnsi="Times New Roman"/>
          <w:color w:val="000000"/>
          <w:sz w:val="20"/>
        </w:rPr>
        <w:t xml:space="preserve"> </w:t>
      </w:r>
      <w:r>
        <w:rPr>
          <w:rFonts w:ascii="Times New Roman" w:hAnsi="Times New Roman"/>
          <w:i/>
          <w:color w:val="000000"/>
          <w:sz w:val="24"/>
        </w:rPr>
        <w:t xml:space="preserve">No Conflicts with Sanctions Laws. </w:t>
      </w:r>
      <w:r>
        <w:rPr>
          <w:rFonts w:ascii="Times New Roman" w:hAnsi="Times New Roman"/>
          <w:color w:val="000000"/>
          <w:sz w:val="24"/>
        </w:rPr>
        <w:t>Neither such Selling Stockholder nor any of its subsidiaries, directors, officers or employees, nor, to the knowledge of such Selling Stockholder, any agent, affiliate or other person associated with or acting on behalf of such Selling Stockholder or any of its subsidiaries is currently the subject or the target of any Sanctions, nor is such Selling Stockholder, any of its subsidiaries located, organized or resident in a Sanctioned Country; and such Selling Stockholder will not directly or indirectly use the proceeds of the offering of the Shares hereunder, or lend, contribute or otherwise make available such proceeds to any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 Since April 24, 2019, such Selling Stockholder and its subsidiaries have not knowingly engaged in, are not now knowingly engaged in any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dealings or transactions with any person that at the time of the dealing or transaction is or was the subject or the target of Sanctions or with any Sanctioned Country.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i/>
          <w:color w:val="000000"/>
          <w:sz w:val="24"/>
        </w:rPr>
        <w:t>Organization and Good Standing.</w:t>
      </w:r>
      <w:r>
        <w:rPr>
          <w:rFonts w:ascii="Times New Roman" w:hAnsi="Times New Roman"/>
          <w:color w:val="000000"/>
          <w:sz w:val="20"/>
        </w:rPr>
        <w:t xml:space="preserve"> </w:t>
      </w:r>
      <w:r>
        <w:rPr>
          <w:rFonts w:ascii="Times New Roman" w:hAnsi="Times New Roman"/>
          <w:color w:val="000000"/>
          <w:sz w:val="24"/>
        </w:rPr>
        <w:t>Such Selling Stockholder has been duly organized and is validly existing and in good standing under the laws of its jurisdiction of organization.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(m) </w:t>
      </w:r>
      <w:r>
        <w:rPr>
          <w:rFonts w:ascii="Times New Roman" w:hAnsi="Times New Roman"/>
          <w:i/>
          <w:color w:val="000000"/>
          <w:sz w:val="24"/>
        </w:rPr>
        <w:t>ERISA.</w:t>
      </w:r>
      <w:r>
        <w:rPr>
          <w:rFonts w:ascii="Times New Roman" w:hAnsi="Times New Roman"/>
          <w:color w:val="000000"/>
          <w:sz w:val="20"/>
        </w:rPr>
        <w:t xml:space="preserve"> </w:t>
      </w:r>
      <w:r>
        <w:rPr>
          <w:rFonts w:ascii="Times New Roman" w:hAnsi="Times New Roman"/>
          <w:color w:val="000000"/>
          <w:sz w:val="24"/>
        </w:rPr>
        <w:t>Such Selling Stockholder is not (i) an employee benefit plan subject to Title I of ERISA, (ii) a plan or account subject to Section 4975 of the Code or (iii) an entity deemed to hold “plan assets” of any such plan or account under Section 3(42) of ERISA, 29 C.F.R. 2510.3-101, or otherwise.</w:t>
      </w:r>
    </w:p>
    <w:p>
      <w:pPr>
        <w:pStyle w:val="TextBody"/>
        <w:bidi w:val="0"/>
        <w:spacing w:before="0" w:after="240"/>
        <w:jc w:val="left"/>
        <w:rPr>
          <w:rFonts w:ascii="Times New Roman" w:hAnsi="Times New Roman"/>
          <w:sz w:val="20"/>
        </w:rPr>
      </w:pPr>
      <w:r>
        <w:rPr>
          <w:rFonts w:ascii="Times New Roman" w:hAnsi="Times New Roman"/>
          <w:color w:val="000000"/>
          <w:sz w:val="24"/>
        </w:rPr>
        <w:t>(n) Each Selling Stockholder represents and warrants that stock powers, duly executed by such Selling Stockholder, representing all of the Shares to be sold by such Selling Stockholder hereunder have been placed in custody under a Custody Agreement relating to such Shares, in the form heretofore furnished to you, duly executed and delivered by such Selling Stockholder to Computershare Inc., as custodian (the “Custodian”) (the “Custody Agreement”), and that such Selling Stockholder has duly executed and delivered a Power of Attorney, in the form heretofore furnished to you (the “Power of Attorney”), appointing the person or persons indicated in Schedule 3 hereto, and each of them, as such Selling Stockholder’s Attorneys-in-fact (the “Attorneys-in-Fact” or any one of them the “Attorney-in-Fact”) with authority to execute and deliver this Agreement on behalf of such Selling Stockholder, to determine the purchase price to be paid by the Underwriter to the Selling Stockholders as provided herein, to authorize the delivery of the Shares to be sold by such Selling Stockholder hereunder and otherwise to act on behalf of such Selling Stockholder in connection with the transactions contemplated by this Agreement and the Custody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(o) Each of the Selling Stockholders specifically agrees that the Shares represented by the stock powers held in custody for such Selling Stockholder under the Custody Agreement are subject to the interests of the Underwriter hereunder, and that the arrangements made by such Selling Stockholder for such custody, and the appointment by such Selling Stockholder of the Attorneys-in-Fact by the Power of Attorney, are to that extent irrevocable. Each of the Selling Stockholders specifically agrees that the obligations of such Selling Stockholder hereunder shall not be terminated by operation of law, whether by the death or incapacity of any individual Selling Stockholder, or, in the case of an estate or trust, by the death or incapacity of any executor or trustee or the termination of such estate or trust, or in the case of a partnership, corporation or similar organization, by the dissolution of such partnership, corporation or organization, or by the occurrence of any other event. If any individual Selling Stockholder or any such executor or trustee should die or become incapacitated, or if any such estate or trust should be terminated, or if any such partnership, corporation or similar organization should be dissolved, or if any other such event should occur, before the delivery of the Shares hereunder, stock powers representing such Shares shall be delivered by or on behalf of such Selling Stockholder in accordance with the terms and conditions of this Agreement and the Custody Agreement, and actions taken by the Attorneys-in-Fact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pursuant to the Powers of Attorney shall be as valid as if such death, incapacity, termination, dissolution or other event had not occurred, regardless of whether or not the Custodian, the Attorneys-in-Fact, or any of them, shall have received notice of such death, incapacity, termination, dissolution or other event.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5. </w:t>
      </w:r>
      <w:r>
        <w:rPr>
          <w:rFonts w:ascii="Times New Roman" w:hAnsi="Times New Roman"/>
          <w:color w:val="000000"/>
          <w:sz w:val="24"/>
          <w:u w:val="single"/>
        </w:rPr>
        <w:t>Further Agreements of the Company</w:t>
      </w:r>
      <w:r>
        <w:rPr>
          <w:rFonts w:ascii="Times New Roman" w:hAnsi="Times New Roman"/>
          <w:color w:val="000000"/>
          <w:sz w:val="24"/>
        </w:rPr>
        <w:t>. The Company covenants and agrees with the Underwriter that: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 xml:space="preserve">Required Filings. </w:t>
      </w:r>
      <w:r>
        <w:rPr>
          <w:rFonts w:ascii="Times New Roman" w:hAnsi="Times New Roman"/>
          <w:color w:val="000000"/>
          <w:sz w:val="24"/>
        </w:rPr>
        <w:t>The Company will file the final Prospectus with the Commission within the time periods specified by Rule 424(b) and Rule 430A, 430B or 430C under the Securities Act, will file any Issuer Free Writing Prospectus to the extent required by Rule 433 under the Securities Act; and the Company will file promptly all reports and any definitive proxy or information statements required to be filed by the Company with the Commission pursuant to Section 13(a), 13(c), 14 or 15(d) of the Exchange Act subsequent to the date of the Prospectus and for so long as the delivery of a prospectus is required in connection with the offering or sale of the Shares; and the Company will furnish copies of the Prospectus and each Issuer Free Writing Prospectus (to the extent not previously delivered) to the Underwriter in New York City prior to 10:00 A.M., New York City time, on the business day next succeeding the date of this Agreement in such quantities as you may reasonably request.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 xml:space="preserve">Delivery of Copies. </w:t>
      </w:r>
      <w:r>
        <w:rPr>
          <w:rFonts w:ascii="Times New Roman" w:hAnsi="Times New Roman"/>
          <w:color w:val="000000"/>
          <w:sz w:val="24"/>
        </w:rPr>
        <w:t>The Company will deliver, without charge, upon request, to the Underwriter (A) a conformed copy of the Registration Statement as originally filed and each amendment thereto (without exhibits) and (B) during the Prospectus Delivery Period (as defined below), as many copies of the Prospectus (including all amendments and supplements thereto and documents incorporated by reference therein) and each Issuer Free Writing Prospectus as you may reasonably request. As used herein, the term “Prospectus Delivery Period” means such period of time after the first date of the public offering of the Shares as in the opinion of counsel for the Underwriter a prospectus relating to the Shares is required by law to be delivered (or required to be delivered but for Rule 172 under the Securities Act) in connection with sales of the Shares by the Underwriter or dealer.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Amendments or Supplements, Issuer Free Writing Prospectuses. </w:t>
      </w:r>
      <w:r>
        <w:rPr>
          <w:rFonts w:ascii="Times New Roman" w:hAnsi="Times New Roman"/>
          <w:color w:val="000000"/>
          <w:sz w:val="24"/>
        </w:rPr>
        <w:t>Before using, authorizing, approving, referring to or filing any Issuer Free Writing Prospectus, and before filing any amendment or supplement to the Registration Statement, the Pricing Disclosure Package or the Prospectus, the Company will furnish to you and counsel for the Underwriter a copy of the proposed Issuer Free Writing Prospectus, amendment or supplement for review and will not use, authorize, approve, refer to or file any such Issuer Free Writing Prospectus or file any such proposed amendment or supplement to which you reasonably object.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Notice to the Underwriter. </w:t>
      </w:r>
      <w:r>
        <w:rPr>
          <w:rFonts w:ascii="Times New Roman" w:hAnsi="Times New Roman"/>
          <w:color w:val="000000"/>
          <w:sz w:val="24"/>
        </w:rPr>
        <w:t>The Company will advise you promptly, and confirm such advice in writing (which advice may be delivered via e-mail), (i) when any amendment to the Registration Statement has been filed or becomes effective; (ii) when any supplement to the Pricing Disclosure Package, the Prospectus or any Issuer Free Writing Prospectus or any amendment to the Prospectus has been filed or distributed; (iii)</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of any request by the Commission for any amendment to the Registration Statement or any amendment or supplement to the Prospectus or the receipt of any comments from the Commission relating to the Registration Statement or any other request by the Commission for any additional information; (iv) of the issuance by the Commission or any other governmental or regulatory authority of any order suspending the effectiveness of the Registration Statement or preventing or suspending the use of any Preliminary Prospectus, any of the Pricing Disclosure Package or the Prospectus or the initiation or, to the knowledge of the Company, threatening of any proceeding for that purpose or pursuant to Section 8A of the Securities Act; (v) of the occurrence of any event or development within the Prospectus Delivery Period as a result of which the Prospectus, any of the Pricing Disclosure Package or any Issuer Free Writing Prospectus as then amended or supplemented would include any untrue statement of a material fact or omit to state a material fact necessary in order to make the statements therein, in the light of the circumstances existing when the Prospectus, the Pricing Disclosure Package or any such Issuer Free Writing Prospectus is delivered to a purchaser, not misleading; and (vi) of the receipt by the Company of any notice of objection of the Commission to the use of the Registration Statement or any post effective amendment thereto pursuant to Rule 401(g)(2) under the Securities Act; and (vii) of the receipt by the Company of any notice with respect to any suspension of the qualification of the Shares for offer and sale in any jurisdiction or the initiation or, to the knowledge of the Company, threatening of any proceeding for such purpose; and the Company will use its reasonable best efforts to prevent the issuance of any such order suspending the effectiveness of the Registration Statement, preventing or suspending the use of any Preliminary Prospectus, any of the Pricing Disclosure Package or the Prospectus or suspending any such qualification of the Shares and, if any such order is issued, will obtain as soon as possible the withdrawal thereof.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 xml:space="preserve">Ongoing Compliance. </w:t>
      </w:r>
      <w:r>
        <w:rPr>
          <w:rFonts w:ascii="Times New Roman" w:hAnsi="Times New Roman"/>
          <w:color w:val="000000"/>
          <w:sz w:val="24"/>
        </w:rPr>
        <w:t>(1) If during the Prospectus Delivery Period (i) any event or development shall occur or condition shall exist as a result of which the Prospectus as then amended or supplemented would include any untrue statement of a material fact or omit to state any material fact necessary in order to make the statements therein, in the light of the circumstances existing when the Prospectus is delivered to a purchaser, not misleading or (ii) it is necessary to amend or supplement the Prospectus to comply with law, the Company will promptly notify the Underwriter thereof and forthwith prepare and, subject to paragraph (c) above, file with the Commission and furnish to the Underwriter and to such dealers as you may designate such amendments or supplements to the Prospectus (or any document to be filed with the Commission and incorporated by reference therein) as may be necessary so that the statements in the Prospectus as so amended or supplemented (or any document to be filed with the Commission and incorporated by reference therein) will not, in the light of the circumstances existing when the Prospectus is delivered to a purchaser, be misleading or so that the Prospectus will comply with law and (2) if at any time prior to the Closing Date (i) any event or development shall occur or condition shall exist as a result of which the Pricing Disclosure Package as then amended or supplemented would include any untrue statement of a material fact or omit to state any material fact necessary in order to make the statements therein, in the light of the circumstances existing when the Pricing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Disclosure Package is delivered to a purchaser, not misleading or (ii) it is necessary to amend or supplement the Pricing Disclosure Package to comply with law, the Company will promptly notify the Underwriter thereof and forthwith prepare and, subject to paragraph (c) above, file with the Commission (to the extent required) and furnish to the Underwriter and to such dealers as you may designate, such amendments or supplements to the Pricing Disclosure Package (or any document to be filed with the Commission and incorporated by reference therein) as may be necessary so that the statements in the Pricing Disclosure Package as so amended or supplemented will not, in the light of the circumstances existing when the Pricing Disclosure Package is delivered to a purchaser, be misleading or so that the Pricing Disclosure Package will comply with law.</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 xml:space="preserve">Blue Sky Compliance. </w:t>
      </w:r>
      <w:r>
        <w:rPr>
          <w:rFonts w:ascii="Times New Roman" w:hAnsi="Times New Roman"/>
          <w:color w:val="000000"/>
          <w:sz w:val="24"/>
        </w:rPr>
        <w:t xml:space="preserve">The Company will qualify the Shares for offer and sale under the securities or Blue Sky laws of such jurisdictions as you shall reasonably request and will continue such qualifications in effect so long as required for distribution of the Shares;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that the Company shall not be required to (i) qualify as a foreign corporation or other entity or as a dealer in securities in any such jurisdiction where it would not otherwise be required to so qualify, (ii) file any general consent to service of process in any such jurisdiction or (iii) subject itself to taxation in any such jurisdiction if it is not otherwise so subject.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 xml:space="preserve">Earning Statement. </w:t>
      </w:r>
      <w:r>
        <w:rPr>
          <w:rFonts w:ascii="Times New Roman" w:hAnsi="Times New Roman"/>
          <w:color w:val="000000"/>
          <w:sz w:val="24"/>
        </w:rPr>
        <w:t>The Company will make generally available to its security holders and you as soon as practicable an earning statement that satisfies the provisions of Section 11(a) of the Securities Act and Rule 158 of the Commission promulgated thereunder covering a period of at least twelve months beginning with the first fiscal quarter of the Company occurring after the “effective date” (as defined in Rule 158) of the Registration Statement; provided that the Company will be deemed to comply with such requirement by furnishing such earnings statements on the Commission’s Electronic Data Gathering, Analysis, and Retrieval system of any successor thereto (“EDGAR”).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 xml:space="preserve">Clear Market. </w:t>
      </w:r>
      <w:r>
        <w:rPr>
          <w:rFonts w:ascii="Times New Roman" w:hAnsi="Times New Roman"/>
          <w:color w:val="000000"/>
          <w:sz w:val="24"/>
        </w:rPr>
        <w:t>For a period of 45 days after the date of the Prospectus, the Company will not (i) offer, pledge, sell, contract to sell, sell any option or contract to purchase, purchase any option or contract to sell, grant any option, right or warrant to purchase, lend, or otherwise transfer or dispose of, directly or indirectly, or submit to, or file with, the Commission a registration statement under the Securities Act relating to, any shares of Stock or any securities convertible into or exercisable or exchangeable for Stock, or publicly disclose the intention to undertake any of the foregoing, or (ii) enter into any swap or other agreement that transfers, in whole or in part, any of the economic consequences of ownership of the Stock or any such other securities, whether any such transaction described in clause (i) or (ii) above is to be settled by delivery of Stock or such other securities, in cash or otherwise, without the prior written consent of the Underwriter, other than the Shares to be sold hereunder.</w:t>
      </w:r>
    </w:p>
    <w:p>
      <w:pPr>
        <w:pStyle w:val="TextBody"/>
        <w:bidi w:val="0"/>
        <w:spacing w:before="0" w:after="240"/>
        <w:jc w:val="left"/>
        <w:rPr>
          <w:rFonts w:ascii="Times New Roman" w:hAnsi="Times New Roman"/>
          <w:sz w:val="20"/>
        </w:rPr>
      </w:pPr>
      <w:r>
        <w:rPr>
          <w:rFonts w:ascii="Times New Roman" w:hAnsi="Times New Roman"/>
          <w:color w:val="000000"/>
          <w:sz w:val="24"/>
        </w:rPr>
        <w:t>The restrictions described above do not apply to (i) the issuance of shares of Stock or securities convertible into or exercisable for shares of Stock pursuant to the conversion or exchange of convertible or exchangeable securities or the exercise of warrants or Stock</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Options (including net exercise) or the settlement of RSUs (including net settlement), in each case outstanding on the date of this Agreement and described in the Prospectus; (ii) grants of Stock Options, or other Equity Awards and the issuance of shares of Stock or securities convertible into or exercisable or exchangeable for shares of Stock (whether upon the exercise of Stock Options or otherwise) to the Company’s employees, officers, directors, advisors, or consultants pursuant to the terms of a Company Stock Plan in effect as of the Closing Date and described in the Prospectus; (iii) the filing of any registration statement on Form S-8 relating to securities granted or to be granted pursuant to any Company Stock Plan in effect on the date of this Agreement and described in the Prospectus or any assumed benefit plan pursuant to an acquisition or similar strategic transaction or (iv) the issuance of Stock as consideration for acquisitions entered into or announced after the date hereof; provided, that the shares of Stock issued pursuant to the foregoing clause (iv) do not, in the aggregate, represent more than 10% of the number of shares of Stock outstanding upon completion of the offering pursuant to this Agreement and each recipient of such shares agrees in writing to be bound by a lock-up or similar agreement substantially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attached hereto.</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 xml:space="preserve">No Stabilization. </w:t>
      </w:r>
      <w:r>
        <w:rPr>
          <w:rFonts w:ascii="Times New Roman" w:hAnsi="Times New Roman"/>
          <w:color w:val="000000"/>
          <w:sz w:val="24"/>
        </w:rPr>
        <w:t>Neither the Company nor its subsidiaries will take, directly or indirectly, any action designed to or that could reasonably be expected to cause or result in any stabilization or manipulation of the price of the Stock.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 xml:space="preserve">Exchange Listing. </w:t>
      </w:r>
      <w:r>
        <w:rPr>
          <w:rFonts w:ascii="Times New Roman" w:hAnsi="Times New Roman"/>
          <w:color w:val="000000"/>
          <w:sz w:val="24"/>
        </w:rPr>
        <w:t>The Company will use its reasonable best efforts to maintain the listing of the Shares on the New York Stock Exchange.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i/>
          <w:color w:val="000000"/>
          <w:sz w:val="24"/>
        </w:rPr>
        <w:t xml:space="preserve">Reports. </w:t>
      </w:r>
      <w:r>
        <w:rPr>
          <w:rFonts w:ascii="Times New Roman" w:hAnsi="Times New Roman"/>
          <w:color w:val="000000"/>
          <w:sz w:val="24"/>
        </w:rPr>
        <w:t xml:space="preserve">So long as the Shares are outstanding, the Company will furnish to you, as soon as they are available, copies of all reports or other communications (financial or other) furnished to holders of the Shares, and copies of any reports and financial statements furnished to or filed with the Commission or any national securities exchange or automatic quotation system; </w:t>
      </w:r>
      <w:r>
        <w:rPr>
          <w:rFonts w:ascii="Times New Roman" w:hAnsi="Times New Roman"/>
          <w:i/>
          <w:color w:val="000000"/>
          <w:sz w:val="24"/>
        </w:rPr>
        <w:t>provided</w:t>
      </w:r>
      <w:r>
        <w:rPr>
          <w:rFonts w:ascii="Times New Roman" w:hAnsi="Times New Roman"/>
          <w:color w:val="000000"/>
          <w:sz w:val="20"/>
        </w:rPr>
        <w:t xml:space="preserve"> </w:t>
      </w:r>
      <w:r>
        <w:rPr>
          <w:rFonts w:ascii="Times New Roman" w:hAnsi="Times New Roman"/>
          <w:color w:val="000000"/>
          <w:sz w:val="24"/>
        </w:rPr>
        <w:t>the Company will be deemed to have furnished such reports and financial statements to you to the extent they are filed on EDGAR.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i/>
          <w:color w:val="000000"/>
          <w:sz w:val="24"/>
        </w:rPr>
        <w:t>Record Retention</w:t>
      </w:r>
      <w:r>
        <w:rPr>
          <w:rFonts w:ascii="Times New Roman" w:hAnsi="Times New Roman"/>
          <w:color w:val="000000"/>
          <w:sz w:val="24"/>
        </w:rPr>
        <w:t>. The Company will, pursuant to reasonable procedures developed in good faith, retain copies of each Issuer Free Writing Prospectus that is not filed with the Commission in accordance with Rule 433 under the Securities Act.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6. </w:t>
      </w:r>
      <w:r>
        <w:rPr>
          <w:rFonts w:ascii="Times New Roman" w:hAnsi="Times New Roman"/>
          <w:color w:val="000000"/>
          <w:sz w:val="24"/>
          <w:u w:val="single"/>
        </w:rPr>
        <w:t>Further Agreements of the Selling Stockholders</w:t>
      </w:r>
      <w:r>
        <w:rPr>
          <w:rFonts w:ascii="Times New Roman" w:hAnsi="Times New Roman"/>
          <w:color w:val="000000"/>
          <w:sz w:val="24"/>
        </w:rPr>
        <w:t>. Each of the Selling Stockholders severally covenants and agrees with the Underwriter that:</w:t>
      </w:r>
    </w:p>
    <w:p>
      <w:pPr>
        <w:pStyle w:val="TextBody"/>
        <w:bidi w:val="0"/>
        <w:spacing w:before="0" w:after="240"/>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 xml:space="preserve">No Stabilization. </w:t>
      </w:r>
      <w:r>
        <w:rPr>
          <w:rFonts w:ascii="Times New Roman" w:hAnsi="Times New Roman"/>
          <w:color w:val="000000"/>
          <w:sz w:val="24"/>
        </w:rPr>
        <w:t>Such Selling Stockholder will not take, and will cause its affiliates not to take, directly or indirectly, any action designed to or that could reasonably be expected to cause or result in any stabilization or manipulation of the price of the Stock.</w:t>
      </w:r>
    </w:p>
    <w:p>
      <w:pPr>
        <w:pStyle w:val="TextBody"/>
        <w:bidi w:val="0"/>
        <w:spacing w:before="0" w:after="240"/>
        <w:jc w:val="left"/>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i/>
          <w:color w:val="000000"/>
          <w:sz w:val="24"/>
        </w:rPr>
        <w:t xml:space="preserve">Tax Form. </w:t>
      </w:r>
      <w:r>
        <w:rPr>
          <w:rFonts w:ascii="Times New Roman" w:hAnsi="Times New Roman"/>
          <w:color w:val="000000"/>
          <w:sz w:val="24"/>
        </w:rPr>
        <w:t>It will deliver to you prior to or at the Closing Date a properly completed and executed United States Treasury Department Form W-9 or, if appropriate, the applicable Form W-8 (or other applicable form or statement specified by the Treasury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Department regulations in lieu thereof) in order to facilitate the Underwriter’s documentation of its compliance with the reporting and withholding provisions of Chapter 3 and Chapter 4 of the Code with respect to the transactions herein contemplated.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Use of Proceeds</w:t>
      </w:r>
      <w:r>
        <w:rPr>
          <w:rFonts w:ascii="Times New Roman" w:hAnsi="Times New Roman"/>
          <w:color w:val="000000"/>
          <w:sz w:val="24"/>
        </w:rPr>
        <w:t>. It will not directly or indirectly use the proceeds of the offering of the Shares hereunder, or lend, contribute or otherwise make available such proceeds to a subsidiary, joint venture partner or other person or entity (i) to fund or facilitate any activities of or business with any person that, at the time of such funding or facilitation, is the subject or target of Sanctions, (ii) to fund or facilitate any activities of or business in any Sanctioned Country or (iii) in any other manner that will result in a violation by any person (including any person participating in the transaction, whether as underwriter, advisor, investor or otherwise) of Sanctions.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7. </w:t>
      </w:r>
      <w:r>
        <w:rPr>
          <w:rFonts w:ascii="Times New Roman" w:hAnsi="Times New Roman"/>
          <w:color w:val="000000"/>
          <w:sz w:val="24"/>
          <w:u w:val="single"/>
        </w:rPr>
        <w:t>Certain Agreements of the Underwriter</w:t>
      </w:r>
      <w:r>
        <w:rPr>
          <w:rFonts w:ascii="Times New Roman" w:hAnsi="Times New Roman"/>
          <w:color w:val="000000"/>
          <w:sz w:val="24"/>
        </w:rPr>
        <w:t>. The Underwriter hereby represents and agrees that:</w:t>
      </w:r>
    </w:p>
    <w:p>
      <w:pPr>
        <w:pStyle w:val="TextBody"/>
        <w:bidi w:val="0"/>
        <w:spacing w:before="0" w:after="240"/>
        <w:jc w:val="left"/>
        <w:rPr>
          <w:rFonts w:ascii="Times New Roman" w:hAnsi="Times New Roman"/>
          <w:sz w:val="20"/>
        </w:rPr>
      </w:pPr>
      <w:r>
        <w:rPr>
          <w:rFonts w:ascii="Times New Roman" w:hAnsi="Times New Roman"/>
          <w:color w:val="000000"/>
          <w:sz w:val="24"/>
        </w:rPr>
        <w:t>(a) It has not and will not use, authorize use of, refer to, or participate in the planning for use of, any “free writing prospectus”, as defined in Rule 405 under the Securities Act (which term includes use of any written information furnished to the Commission by the Company and not incorporated by reference into the Registration Statement and any press release issued by the Company) other than (i) a free writing prospectus that contains no “issuer information” (as defined in Rule 433(h)(2) under the Securities Act) that was not included (including through incorporation by reference) in the Preliminary Prospectus or a previously filed Issuer Free Writing Prospectus, (ii) any Issuer Free Writing Prospectus listed on Annex A or prepared pursuant to Section 3(c) or Section 5(c) above (including any electronic road show), or (iii) any free writing prospectus prepared by the Underwriter and approved by the Company in advance in writing (each such free writing prospectus referred to in clauses (i) or (iii), an “Underwriter Free Writing Prospectus”).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(b) It has not and will not, without the prior written consent of the Company, use any free writing prospectus that contains the final terms of the Shares unless such terms have previously been included in a free writing prospectus filed with the Commission.</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(c) It is not subject to any pending proceeding under Section 8A of the Securities Act with respect to the offering (and will promptly notify the Company and the Selling Stockholders if any such proceeding against it is initiated during the Prospectus Delivery Period).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8. </w:t>
      </w:r>
      <w:r>
        <w:rPr>
          <w:rFonts w:ascii="Times New Roman" w:hAnsi="Times New Roman"/>
          <w:color w:val="000000"/>
          <w:sz w:val="24"/>
          <w:u w:val="single"/>
        </w:rPr>
        <w:t>Conditions of the Underwriter’s Obligations</w:t>
      </w:r>
      <w:r>
        <w:rPr>
          <w:rFonts w:ascii="Times New Roman" w:hAnsi="Times New Roman"/>
          <w:color w:val="000000"/>
          <w:sz w:val="24"/>
        </w:rPr>
        <w:t>. Your obligation to purchase the Shares on the Closing Date as provided herein is subject to the performance by the Company and each of the Selling Stockholders of their respective covenants and other obligations hereunder and to the following additional conditions: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 xml:space="preserve">Registration Compliance; No Stop Order. </w:t>
      </w:r>
      <w:r>
        <w:rPr>
          <w:rFonts w:ascii="Times New Roman" w:hAnsi="Times New Roman"/>
          <w:color w:val="000000"/>
          <w:sz w:val="24"/>
        </w:rPr>
        <w:t>No order suspending the effectiveness of the Registration Statement shall be in effect, and no proceeding for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purpose pursuant to Rule 401(g)(2) or pursuant to Section 8A under the Securities Act shall be pending before or threatened by the Commission; the Prospectus and each Issuer Free Writing Prospectus shall have been timely filed with the Commission under the Securities Act (in the case of an Issuer Free Writing Prospectus, to the extent required by Rule 433 under the Securities Act) and in accordance with Section 5(a) hereof; and all requests by the Commission for additional information shall have been complied with to your reasonable satisfaction.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 xml:space="preserve">Representations and Warranties. </w:t>
      </w:r>
      <w:r>
        <w:rPr>
          <w:rFonts w:ascii="Times New Roman" w:hAnsi="Times New Roman"/>
          <w:color w:val="000000"/>
          <w:sz w:val="24"/>
        </w:rPr>
        <w:t>The respective representations and warranties of the Company and the Selling Stockholders contained herein shall be true and correct on the date hereof and on and as of the Closing Date; and the statements of the Company and its officers and of each of the Selling Stockholders made in any certificates delivered pursuant to this Agreement shall be true and correct on and as of the Closing Date.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No Material Adverse Change. </w:t>
      </w:r>
      <w:r>
        <w:rPr>
          <w:rFonts w:ascii="Times New Roman" w:hAnsi="Times New Roman"/>
          <w:color w:val="000000"/>
          <w:sz w:val="24"/>
        </w:rPr>
        <w:t>No event or condition of a type described in Section 3(g) hereof shall have occurred or shall exist, which event or condition is not described in the Pricing Disclosure Package (excluding any amendment or supplement thereto) and the Prospectus (excluding any amendment or supplement thereto) and the effect of which in your judgment makes it impracticable or inadvisable to proceed with the offering, sale or delivery of the Shares on the Closing Date on the terms and in the manner contemplated by this Agreement, the Pricing Disclosure Package and the Prospectus.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Officer’s Certificate. </w:t>
      </w:r>
      <w:r>
        <w:rPr>
          <w:rFonts w:ascii="Times New Roman" w:hAnsi="Times New Roman"/>
          <w:color w:val="000000"/>
          <w:sz w:val="24"/>
        </w:rPr>
        <w:t>You shall have received on and as of the Closing Date(x) a certificate of the chief financial officer or chief accounting officer of the Company and one additional senior executive officer of the Company who is reasonably satisfactory to you (i) confirming that such officers have carefully reviewed the Registration Statement, the Pricing Disclosure Package and the Prospectus and, to the knowledge of such officers, the representations of the Company set forth in Sections 3(b) and 3(d) hereof are true and correct, (ii) confirming that the other representations and warranties of the Company in this Agreement are true and correct and that the Company has complied in all material respects with all agreements and satisfied all conditions on its part to be performed or satisfied hereunder at or prior to the Closing Date, and (iii) to the effect set forth in paragraphs (a) and (c) above and (y) a certificate of each of the Selling Stockholders, in form and substance reasonably satisfactory to you, (A) confirming that the representations of such Selling Stockholder set forth in Sections 4(e), 4(f) and 4(g) hereof are true and correct and (B) confirming that the other representations and warranties of such Selling Stockholder in this Agreement are true and correct and that such Selling Stockholder has complied in all material respects with all agreements and satisfied all conditions on their part to be performed or satisfied hereunder at or prior to such Closing Date.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 xml:space="preserve">Comfort Letters. </w:t>
      </w:r>
      <w:r>
        <w:rPr>
          <w:rFonts w:ascii="Times New Roman" w:hAnsi="Times New Roman"/>
          <w:color w:val="000000"/>
          <w:sz w:val="24"/>
        </w:rPr>
        <w:t>(i) On the date of this Agreement and on the Closing Date each of PricewaterhouseCoopers LLP and Grant Thornton LLP shall have furnished to you, at the request of the Company, letters, dated the respective dates of delivery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thereof and addressed to you, in form and substance reasonably satisfactory to you, containing statements and information of the type customarily included in accountants’ “comfort letters” to underwriters with respect to the financial statements and certain financial information contained or incorporated by reference in each of the Registration Statement, the Pricing Disclosure Package and the Prospectus; </w:t>
      </w:r>
      <w:r>
        <w:rPr>
          <w:rFonts w:ascii="Times New Roman" w:hAnsi="Times New Roman"/>
          <w:color w:val="000000"/>
          <w:sz w:val="24"/>
          <w:u w:val="single"/>
        </w:rPr>
        <w:t>provided</w:t>
      </w:r>
      <w:r>
        <w:rPr>
          <w:rFonts w:ascii="Times New Roman" w:hAnsi="Times New Roman"/>
          <w:color w:val="000000"/>
          <w:sz w:val="24"/>
        </w:rPr>
        <w:t>, that the letters delivered on the Closing Date shall use a “cut-off” date no more than two business days prior to such Closing Date.</w:t>
      </w:r>
    </w:p>
    <w:p>
      <w:pPr>
        <w:pStyle w:val="TextBody"/>
        <w:bidi w:val="0"/>
        <w:spacing w:before="0" w:after="240"/>
        <w:jc w:val="left"/>
        <w:rPr>
          <w:rFonts w:ascii="Times New Roman" w:hAnsi="Times New Roman"/>
          <w:sz w:val="20"/>
        </w:rPr>
      </w:pPr>
      <w:r>
        <w:rPr>
          <w:rFonts w:ascii="Times New Roman" w:hAnsi="Times New Roman"/>
          <w:color w:val="000000"/>
          <w:sz w:val="24"/>
        </w:rPr>
        <w:t>(ii)</w:t>
      </w:r>
      <w:r>
        <w:rPr>
          <w:rFonts w:ascii="Times New Roman" w:hAnsi="Times New Roman"/>
          <w:color w:val="000000"/>
          <w:sz w:val="20"/>
        </w:rPr>
        <w:t xml:space="preserve"> </w:t>
      </w:r>
      <w:r>
        <w:rPr>
          <w:rFonts w:ascii="Times New Roman" w:hAnsi="Times New Roman"/>
          <w:color w:val="000000"/>
          <w:sz w:val="24"/>
        </w:rPr>
        <w:t>On the date of this Agreement and on the Closing Date, the Company shall have furnished to you a certificate, dated the respective dates of delivery thereof and addressed to you, of its chief financial officer with respect to certain financial data contained in the Pricing Disclosure Package and the Prospectus, providing “management comfort” with respect to such information, in form and substance reasonably satisfactory to you.</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 xml:space="preserve">Opinion and 10b-5 Statement of Counsel for the Company. </w:t>
      </w:r>
      <w:r>
        <w:rPr>
          <w:rFonts w:ascii="Times New Roman" w:hAnsi="Times New Roman"/>
          <w:color w:val="000000"/>
          <w:sz w:val="24"/>
        </w:rPr>
        <w:t>Akin Gump Strauss Hauer &amp; Feld LLP,</w:t>
      </w:r>
      <w:r>
        <w:rPr>
          <w:rFonts w:ascii="Times New Roman" w:hAnsi="Times New Roman"/>
          <w:color w:val="000000"/>
          <w:sz w:val="20"/>
        </w:rPr>
        <w:t xml:space="preserve"> </w:t>
      </w:r>
      <w:r>
        <w:rPr>
          <w:rFonts w:ascii="Times New Roman" w:hAnsi="Times New Roman"/>
          <w:color w:val="000000"/>
          <w:sz w:val="24"/>
        </w:rPr>
        <w:t>counsel for the Company, shall have furnished to you, at the request of the Company, their written opinion and 10b-5 statement, dated the Closing Date, and addressed to you, in form and substance reasonably satisfactory to you, to the effect set forth in Annex C-1 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 xml:space="preserve">Opinion of Counsel for the Selling Stockholders. </w:t>
      </w:r>
      <w:r>
        <w:rPr>
          <w:rFonts w:ascii="Times New Roman" w:hAnsi="Times New Roman"/>
          <w:color w:val="000000"/>
          <w:sz w:val="24"/>
        </w:rPr>
        <w:t>Akin Gump Strauss Hauer &amp; Feld LLP, counsel for the Selling Stockholders, shall have furnished to you, at the request of the Selling Stockholders, their written opinion, dated the Closing Date, and addressed to you, in form and substance reasonably satisfactory to you, to the effect set forth in Annex C-2 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 xml:space="preserve">Opinion and 10b-5 Statement of Counsel for the Underwriter. </w:t>
      </w:r>
      <w:r>
        <w:rPr>
          <w:rFonts w:ascii="Times New Roman" w:hAnsi="Times New Roman"/>
          <w:color w:val="000000"/>
          <w:sz w:val="24"/>
        </w:rPr>
        <w:t>You shall have received on and as of the Closing Date, an opinion and 10b-5 statement, addressed to you, of Latham &amp; Watkins LLP, counsel for the Underwriter, with respect to such matters as you may reasonably request, and such counsel shall have received such documents and information as they may reasonably request to enable them to pass upon such matters.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(i) </w:t>
      </w:r>
      <w:r>
        <w:rPr>
          <w:rFonts w:ascii="Times New Roman" w:hAnsi="Times New Roman"/>
          <w:i/>
          <w:color w:val="000000"/>
          <w:sz w:val="24"/>
        </w:rPr>
        <w:t xml:space="preserve">No Legal Impediment to Sale. </w:t>
      </w:r>
      <w:r>
        <w:rPr>
          <w:rFonts w:ascii="Times New Roman" w:hAnsi="Times New Roman"/>
          <w:color w:val="000000"/>
          <w:sz w:val="24"/>
        </w:rPr>
        <w:t>No action shall have been taken and no statute, rule, regulation or order shall have been enacted, adopted or issued by any federal, state or foreign governmental or regulatory authority that would, as of the Closing Date, prevent the sale of the Shares; and no injunction or order of any federal, state or foreign court shall have been issued that would, as of the Closing Date, prevent the sale of the Shares.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(j) </w:t>
      </w:r>
      <w:r>
        <w:rPr>
          <w:rFonts w:ascii="Times New Roman" w:hAnsi="Times New Roman"/>
          <w:i/>
          <w:color w:val="000000"/>
          <w:sz w:val="24"/>
        </w:rPr>
        <w:t>Good Standing</w:t>
      </w:r>
      <w:r>
        <w:rPr>
          <w:rFonts w:ascii="Times New Roman" w:hAnsi="Times New Roman"/>
          <w:color w:val="000000"/>
          <w:sz w:val="24"/>
        </w:rPr>
        <w:t xml:space="preserve">. You shall have received on and as of the Closing Date satisfactory evidence of the good standing of the Company and its significant subsidiaries listed on </w:t>
      </w:r>
      <w:r>
        <w:rPr>
          <w:rFonts w:ascii="Times New Roman" w:hAnsi="Times New Roman"/>
          <w:color w:val="000000"/>
          <w:sz w:val="24"/>
          <w:u w:val="single"/>
        </w:rPr>
        <w:t>Schedule 2</w:t>
      </w:r>
      <w:r>
        <w:rPr>
          <w:rFonts w:ascii="Times New Roman" w:hAnsi="Times New Roman"/>
          <w:color w:val="000000"/>
          <w:sz w:val="20"/>
        </w:rPr>
        <w:t xml:space="preserve"> </w:t>
      </w:r>
      <w:r>
        <w:rPr>
          <w:rFonts w:ascii="Times New Roman" w:hAnsi="Times New Roman"/>
          <w:color w:val="000000"/>
          <w:sz w:val="24"/>
        </w:rPr>
        <w:t>in their respective jurisdictions of organization and their good standing as foreign entities in such other jurisdictions as you may reasonably request, in each case in writing or any standard form of telecommunication from the appropriate governmental authorities of such jurisdictions.</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(k) </w:t>
      </w:r>
      <w:r>
        <w:rPr>
          <w:rFonts w:ascii="Times New Roman" w:hAnsi="Times New Roman"/>
          <w:i/>
          <w:color w:val="000000"/>
          <w:sz w:val="24"/>
        </w:rPr>
        <w:t>Lock-up Agreements</w:t>
      </w:r>
      <w:r>
        <w:rPr>
          <w:rFonts w:ascii="Times New Roman" w:hAnsi="Times New Roman"/>
          <w:color w:val="000000"/>
          <w:sz w:val="24"/>
        </w:rPr>
        <w:t xml:space="preserve">. The “lock-up” agreements, each substantially in the form of </w:t>
      </w:r>
      <w:r>
        <w:rPr>
          <w:rFonts w:ascii="Times New Roman" w:hAnsi="Times New Roman"/>
          <w:color w:val="000000"/>
          <w:sz w:val="24"/>
          <w:u w:val="single"/>
        </w:rPr>
        <w:t>Exhibit A</w:t>
      </w:r>
      <w:r>
        <w:rPr>
          <w:rFonts w:ascii="Times New Roman" w:hAnsi="Times New Roman"/>
          <w:color w:val="000000"/>
          <w:sz w:val="20"/>
        </w:rPr>
        <w:t xml:space="preserve"> </w:t>
      </w:r>
      <w:r>
        <w:rPr>
          <w:rFonts w:ascii="Times New Roman" w:hAnsi="Times New Roman"/>
          <w:color w:val="000000"/>
          <w:sz w:val="24"/>
        </w:rPr>
        <w:t>hereto, between you and certain officers and directors of the Company, and between you and the Selling Stockholders, relating to sales and certain other dispositions of shares of Stock or certain other securities, delivered to you on or before the date hereof, shall be full force and effect on the Closing Date.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(l) </w:t>
      </w:r>
      <w:r>
        <w:rPr>
          <w:rFonts w:ascii="Times New Roman" w:hAnsi="Times New Roman"/>
          <w:i/>
          <w:color w:val="000000"/>
          <w:sz w:val="24"/>
        </w:rPr>
        <w:t xml:space="preserve">Additional Documents. </w:t>
      </w:r>
      <w:r>
        <w:rPr>
          <w:rFonts w:ascii="Times New Roman" w:hAnsi="Times New Roman"/>
          <w:color w:val="000000"/>
          <w:sz w:val="24"/>
        </w:rPr>
        <w:t>On or prior to the Closing Date, the Company and the Selling Stockholders shall have furnished to you such further certificates and documents as you may reasonably request.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All opinions, letters, certificates and evidence mentioned above or elsewhere in this Agreement shall be deemed to be in compliance with the provisions hereof only if they are in form and substance reasonably satisfactory to counsel for the Underwriter.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9. </w:t>
      </w:r>
      <w:r>
        <w:rPr>
          <w:rFonts w:ascii="Times New Roman" w:hAnsi="Times New Roman"/>
          <w:color w:val="000000"/>
          <w:sz w:val="24"/>
          <w:u w:val="single"/>
        </w:rPr>
        <w:t>Indemnification and Contribution</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(a) </w:t>
      </w:r>
      <w:r>
        <w:rPr>
          <w:rFonts w:ascii="Times New Roman" w:hAnsi="Times New Roman"/>
          <w:i/>
          <w:color w:val="000000"/>
          <w:sz w:val="24"/>
        </w:rPr>
        <w:t xml:space="preserve">Indemnification of the Underwriter by the Company. </w:t>
      </w:r>
      <w:r>
        <w:rPr>
          <w:rFonts w:ascii="Times New Roman" w:hAnsi="Times New Roman"/>
          <w:color w:val="000000"/>
          <w:sz w:val="24"/>
        </w:rPr>
        <w:t>The Company agrees to indemnify and hold harmless the Underwriter, its affiliates, directors and officers and each person, if any, who controls the Underwriter within the meaning of Section 15 of the Securities Act or Section 20 of the Exchange Act, from and against any and all losses, claims, damages and liabilities (including, without limitation, reasonable and documented legal fees and other reasonable and documented expenses incurred in connection with any suit, action or proceeding or any claim asserted, as such fees and expenses are incurred), that arise out of, or are based upon, (i) any untrue statement or alleged untrue statement of a material fact contained in the Registration Statement or caused by any omission or alleged omission to state therein a material fact required to be stated therein or necessary in order to make the statements therein, not misleading, or (ii) any untrue statement or alleged untrue statement of a material fact contained in the Prospectus (or any amendment or supplement thereto), any Preliminary Prospectus, any Issuer Free Writing Prospectus, any “issuer information” filed or required to be filed pursuant to Rule 433(d) under the Securities Act, any road show as defined in Rule 433(h) under the Securities Act (a “road show”) or any Pricing Disclosure Package (including any Pricing Disclosure Package that has subsequently been amended) or caused by any omission or alleged omission to state therein a material fact necessary in order to make the statements therein, in light of the circumstances under which they were made, not misleading, in each case except insofar as such losses, claims, damages or liabilities arise out of, or are based upon, any untrue statement or omission or alleged untrue statement or omission made in reliance upon and in conformity with any information relating to the Underwriter furnished to the Company in writing by the Underwriter expressly for use therein, it being understood and agreed that the only such information furnished by the Underwriter consists of the information described as such in paragraph (c) below.</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 xml:space="preserve">Indemnification of the Underwriter by the Selling </w:t>
      </w:r>
      <w:r>
        <w:rPr>
          <w:rFonts w:ascii="Times New Roman" w:hAnsi="Times New Roman"/>
          <w:color w:val="000000"/>
          <w:sz w:val="24"/>
        </w:rPr>
        <w:t>Stockholders. Each of the Selling Stockholders severally in proportion to the number of Shares to be sold by such Selling Stockholder hereunder agrees to indemnify and hold harmless the Underwriter, its affiliates, directors and officers and each person, if any, who controls the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Underwriter within the meaning of Section 15 of the Securities Act or Section 20 of the Exchange Act to the same extent as the indemnity set forth in paragraph (a) above, in each case except insofar as such losses, claims, damages or liabilities arise out of, or are based upon, any untrue statement or omission or alleged untrue statement or omission made in reliance upon and in conformity with any information relating to the Underwriter furnished to the Company in writing by the Underwriter expressly for use in the Registration Statement, the Prospectus (or any amendment or supplement thereto), any Preliminary Prospectus, any Issuer Free Writing Prospectus or the Pricing Disclosure Package; provided, however, that such Selling Stockholders will only be liable in any such case to the extent that any such losses, claims, damages or liabilities arise out of or are based upon an untrue statement or alleged untrue statement in or omission or alleged omission from any of such documents in reliance upon and in conformity with written information furnished to the Company by or on behalf of such Selling Stockholder specifically for use therein, it being understood and agreed that the only such information furnished by or on behalf of any Selling Stockholder consists of the following information: the legal name of such Selling Stockholder, the number of shares of common stock beneficially owned and offered by such Selling Stockholder and the address and other information with respect to such Selling Stockholder that appears in the applicable footnotes as set forth under the caption “Selling Stockholders”.</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 xml:space="preserve">Indemnification of the Company and the Selling Stockholders. </w:t>
      </w:r>
      <w:r>
        <w:rPr>
          <w:rFonts w:ascii="Times New Roman" w:hAnsi="Times New Roman"/>
          <w:color w:val="000000"/>
          <w:sz w:val="24"/>
        </w:rPr>
        <w:t>The Underwriter agrees to indemnify and hold harmless the Company, its directors, its officers who signed the Registration Statement and each person, if any, who controls the Company within the meaning of Section 15 of the Securities Act or Section 20 of the Exchange Act and each of the Selling Stockholders to the same extent as the indemnity set forth in paragraph (a) above, but only with respect to any losses, claims, damages or liabilities that arise out of, or are based upon, any untrue statement or omission or alleged untrue statement or omission made in reliance upon and in conformity with any information relating to the Underwriter furnished to the Company in writing by the Underwriter expressly for use in the Registration Statement, the Prospectus (or any amendment or supplement thereto), any Preliminary Prospectus, any Issuer Free Writing Prospectus, any road show or any Pricing Disclosure Package (including any Pricing Disclosure Package that has subsequently been amended), it being understood and agreed upon that the only such information furnished by the Underwriter consists of the following information in the Prospectus furnished on behalf of the Underwriter: the concession and reallowance figures appearing in the second paragraph under the caption “Underwriting” and the information contained in the thirteenth paragraph under the caption “Underwriting”.</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 xml:space="preserve">Notice and Procedures. </w:t>
      </w:r>
      <w:r>
        <w:rPr>
          <w:rFonts w:ascii="Times New Roman" w:hAnsi="Times New Roman"/>
          <w:color w:val="000000"/>
          <w:sz w:val="24"/>
        </w:rPr>
        <w:t xml:space="preserve">If any suit, action, proceeding (including any governmental or regulatory investigation), claim or demand shall be brought or asserted against any person in respect of which indemnification may be sought pursuant to the preceding paragraphs of this Section 9, such person (the “Indemnified Person”) shall promptly notify the person against whom such indemnification may be sought (the “Indemnifying Person”) in writing;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the failure to notify the Indemnifying Person shall not relieve it from any liability that it may have under the preceding</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paragraphs of this Section 9 except to the extent that it has been materially prejudiced (through the forfeiture of substantive rights or defenses) by such failure; and </w:t>
      </w:r>
      <w:r>
        <w:rPr>
          <w:rFonts w:ascii="Times New Roman" w:hAnsi="Times New Roman"/>
          <w:color w:val="000000"/>
          <w:sz w:val="24"/>
          <w:u w:val="single"/>
        </w:rPr>
        <w:t>provided, further,</w:t>
      </w:r>
      <w:r>
        <w:rPr>
          <w:rFonts w:ascii="Times New Roman" w:hAnsi="Times New Roman"/>
          <w:color w:val="000000"/>
          <w:sz w:val="20"/>
        </w:rPr>
        <w:t xml:space="preserve"> </w:t>
      </w:r>
      <w:r>
        <w:rPr>
          <w:rFonts w:ascii="Times New Roman" w:hAnsi="Times New Roman"/>
          <w:color w:val="000000"/>
          <w:sz w:val="24"/>
        </w:rPr>
        <w:t>that the failure to notify the Indemnifying Person shall not relieve it from any liability that it may have to an Indemnified Person otherwise than under the preceding paragraphs of this Section 9. If any such proceeding shall be brought or asserted against an Indemnified Person and it shall have notified the Indemnifying Person thereof, the Indemnifying Person shall retain counsel reasonably satisfactory to the Indemnified Person (who shall not, without the consent of the Indemnified Person, be counsel to the Indemnifying Person) to represent the Indemnified Person in such proceeding and shall pay reasonable and documented fees and expenses of such counsel related to such proceeding, as incurred. In any such proceeding, any Indemnified Person shall have the right to retain its own counsel, but the fees and expenses of such counsel shall be at the expense of such Indemnified Person unless (i) the Indemnifying Person and the Indemnified Person shall have mutually agreed to the contrary; (ii) the Indemnifying Person has failed within a reasonable time to retain counsel reasonably satisfactory to the Indemnified Person; (iii) the Indemnified Person shall have reasonably concluded that there may be legal defenses available to it that are different from or in addition to those available to the Indemnifying Person; or (iv) the named parties in any such proceeding (including any impleaded parties) include both the Indemnifying Person and the Indemnified Person and representation of both parties by the same counsel would be inappropriate due to actual or potential differing interests between them. It is understood and agreed that the Indemnifying Person shall not, in connection with any proceeding or related proceeding in the same jurisdiction, be liable for the reasonable and documented fees and expenses of more than one separate firm (in addition to any local counsel) for all Indemnified Persons, and that all such fees and expenses shall be paid or reimbursed as they are incurred. Any such separate firm for the Underwriter, its affiliates, directors and officers and any control persons of the Underwriter shall be designated in writing by the Underwriter and any such separate firm for the Company, its directors, its officers who signed the Registration Statement and any control persons of the Company shall be designated in writing by the Company and any such separate firm for the Selling Stockholders shall be designated in writing by the Selling Stockholders. The Indemnifying Person shall not be liable for any settlement of any proceeding effected without its written consent, but if settled with such consent, the Indemnifying Person agrees to indemnify each Indemnified Person from and against any loss or liability by reason of such settlement. Notwithstanding the foregoing sentence, if at any time an Indemnified Person shall have requested that an Indemnifying Person reimburse the Indemnified Person for reasonable and documented fees and expenses of counsel as contemplated by this paragraph, the Indemnifying Person shall be liable for any settlement of any proceeding effected without its written consent if (i) such settlement is entered into more than 30 days after receipt by the Indemnifying Person of such request and (ii) the Indemnifying Person shall not have reimbursed the Indemnified Person in accordance with such request prior to the date of such settlement. No Indemnifying Person shall, without the written consent of the Indemnified Person, effect any settlement of any pending or threatened proceeding in respect of which any Indemnified Person is or could have been a party and indemnification could have been sought hereunder by such Indemnified Person, unless such settlement (x) includes an unconditional release of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Indemnified Person, in form and substance reasonably satisfactory to such Indemnified Person, from all liability on claims that are the subject matter of such proceeding and (y) does not include any statement as to or any admission of fault, culpability or a failure to act by or on behalf of any Indemnified Person.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(e) </w:t>
      </w:r>
      <w:r>
        <w:rPr>
          <w:rFonts w:ascii="Times New Roman" w:hAnsi="Times New Roman"/>
          <w:i/>
          <w:color w:val="000000"/>
          <w:sz w:val="24"/>
        </w:rPr>
        <w:t xml:space="preserve">Contribution. </w:t>
      </w:r>
      <w:r>
        <w:rPr>
          <w:rFonts w:ascii="Times New Roman" w:hAnsi="Times New Roman"/>
          <w:color w:val="000000"/>
          <w:sz w:val="24"/>
        </w:rPr>
        <w:t>If the indemnification provided for in paragraphs (a), (b) or (c) above is unavailable to an Indemnified Person or insufficient in respect of any losses, claims, damages or liabilities referred to therein, then each Indemnifying Person under such paragraph, in lieu of indemnifying such Indemnified Person thereunder, shall contribute to the amount paid or payable by such Indemnified Person as a result of such losses, claims, damages or liabilities (i) in such proportion as is appropriate to reflect the relative benefits received by the Company and the Selling Stockholders, on the one hand, and the Underwriter on the other, from the offering of the Shares or (ii) if the allocation provided by clause (i) is not permitted by applicable law, in such proportion as is appropriate to reflect not only the relative benefits referred to in clause (i) but also the relative fault of the Company and the Selling Stockholders, on the one hand, and the Underwriter on the other, in connection with the statements or omissions that resulted in such losses, claims, damages or liabilities, as well as any other relevant equitable considerations. The relative benefits received by the Company and the Selling Stockholders, on the one hand, and you, on the other, shall be deemed to be in the same respective proportions as the net proceeds (before deducting expenses) received by the Selling Stockholders from the sale of the Shares and the total underwriting discounts and commissions received by the Underwriter in connection therewith, in each case as set forth in the table on the cover of the Prospectus, bear to the aggregate offering price of the Shares. The relative fault of the Company and the Selling Stockholders, on the one hand, and you, on the other, shall be determined by reference to, among other things, whether the untrue or alleged untrue statement of a material fact or the omission or alleged omission to state a material fact relates to information supplied by the Company and the Selling Stockholders or by the Underwriter and the parties’ relative intent, knowledge, access to information and opportunity to correct or prevent such statement or omission.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 xml:space="preserve">Limitation on Liability. </w:t>
      </w:r>
      <w:r>
        <w:rPr>
          <w:rFonts w:ascii="Times New Roman" w:hAnsi="Times New Roman"/>
          <w:color w:val="000000"/>
          <w:sz w:val="24"/>
        </w:rPr>
        <w:t xml:space="preserve">The Company, the Selling Stockholders and the Underwriter agree that it would not be just and equitable if contribution pursuant to paragraph (e) above were determined by </w:t>
      </w:r>
      <w:r>
        <w:rPr>
          <w:rFonts w:ascii="Times New Roman" w:hAnsi="Times New Roman"/>
          <w:color w:val="000000"/>
          <w:sz w:val="24"/>
          <w:u w:val="single"/>
        </w:rPr>
        <w:t>pro</w:t>
      </w:r>
      <w:r>
        <w:rPr>
          <w:rFonts w:ascii="Times New Roman" w:hAnsi="Times New Roman"/>
          <w:color w:val="000000"/>
          <w:sz w:val="20"/>
        </w:rPr>
        <w:t xml:space="preserve"> </w:t>
      </w:r>
      <w:r>
        <w:rPr>
          <w:rFonts w:ascii="Times New Roman" w:hAnsi="Times New Roman"/>
          <w:color w:val="000000"/>
          <w:sz w:val="24"/>
          <w:u w:val="single"/>
        </w:rPr>
        <w:t>rata</w:t>
      </w:r>
      <w:r>
        <w:rPr>
          <w:rFonts w:ascii="Times New Roman" w:hAnsi="Times New Roman"/>
          <w:color w:val="000000"/>
          <w:sz w:val="20"/>
        </w:rPr>
        <w:t xml:space="preserve"> </w:t>
      </w:r>
      <w:r>
        <w:rPr>
          <w:rFonts w:ascii="Times New Roman" w:hAnsi="Times New Roman"/>
          <w:color w:val="000000"/>
          <w:sz w:val="24"/>
        </w:rPr>
        <w:t>allocation or by any other method of allocation that does not take account of the equitable considerations referred to in paragraph (e) above. The amount paid or payable by an Indemnified Person as a result of the losses, claims, damages and liabilities referred to in paragraph (e) above shall be deemed to include, subject to the limitations set forth above, any legal or other expenses incurred by such Indemnified Person in connection with any such action or claim. Notwithstanding the provisions of paragraphs (e) and (f), in no event shall the Underwriter be required to contribute any amount in excess of the amount by which the total underwriting discounts and commissions received by the Underwriter with respect to the offering of the Shares exceeds the amount of any damages that the Underwriter has otherwise been required to pay by reason of such untrue or alleged untrue statement or omission or alleged omission. No person guilty of fraudulent misrepresentation (within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meaning of Section 11(f) of the Securities Act) shall be entitled to contribution from any person who was not guilty of such fraudulent misrepresentation.</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 xml:space="preserve">Non-Exclusive Remedies. </w:t>
      </w:r>
      <w:r>
        <w:rPr>
          <w:rFonts w:ascii="Times New Roman" w:hAnsi="Times New Roman"/>
          <w:color w:val="000000"/>
          <w:sz w:val="24"/>
        </w:rPr>
        <w:t>The remedies provided for in this Section 9 are not exclusive and shall not limit any rights or remedies which may otherwise be available to any Indemnified Person at law or in equity.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10. </w:t>
      </w:r>
      <w:r>
        <w:rPr>
          <w:rFonts w:ascii="Times New Roman" w:hAnsi="Times New Roman"/>
          <w:color w:val="000000"/>
          <w:sz w:val="24"/>
          <w:u w:val="single"/>
        </w:rPr>
        <w:t>Effectiveness of Agreement</w:t>
      </w:r>
      <w:r>
        <w:rPr>
          <w:rFonts w:ascii="Times New Roman" w:hAnsi="Times New Roman"/>
          <w:color w:val="000000"/>
          <w:sz w:val="24"/>
        </w:rPr>
        <w:t>. This Agreement shall become effective as of the date first written above.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11. </w:t>
      </w:r>
      <w:r>
        <w:rPr>
          <w:rFonts w:ascii="Times New Roman" w:hAnsi="Times New Roman"/>
          <w:color w:val="000000"/>
          <w:sz w:val="24"/>
          <w:u w:val="single"/>
        </w:rPr>
        <w:t>Termination</w:t>
      </w:r>
      <w:r>
        <w:rPr>
          <w:rFonts w:ascii="Times New Roman" w:hAnsi="Times New Roman"/>
          <w:color w:val="000000"/>
          <w:sz w:val="24"/>
        </w:rPr>
        <w:t>. This Agreement may be terminated in your absolute discretion, by notice to the Company and the Selling Stockholders, if after the execution and delivery of this Agreement and on or prior to the Closing Date (i) trading generally shall have been suspended or materially limited on or by any of the New York Stock Exchange or The Nasdaq Stock Market; (ii) trading of any securities issued or guaranteed by the Company shall have been suspended on any exchange or in any over-the-counter market; (iii) a general moratorium on commercial banking activities shall have been declared by federal or New York State authorities; or (iv) there shall have occurred any outbreak or escalation of hostilities or any change in financial markets or any calamity or crisis, either within or outside the United States, that, in your judgment, is material and adverse and makes it impracticable or inadvisable to proceed with the offering, sale or delivery of the Shares on the Closing Date, on the terms and in the manner contemplated by this Agreement, the Pricing Disclosure Package and the Prospectus.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12. [Reserved].</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13. </w:t>
      </w:r>
      <w:r>
        <w:rPr>
          <w:rFonts w:ascii="Times New Roman" w:hAnsi="Times New Roman"/>
          <w:color w:val="000000"/>
          <w:sz w:val="24"/>
          <w:u w:val="single"/>
        </w:rPr>
        <w:t>Payment of Expenses</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(a) Whether or not the transactions contemplated by this Agreement are consummated or this Agreement is terminated, the Company will pay or cause to be paid all costs and expenses incident to the performance of its obligations hereunder, including without limitation, (i) the costs incident to the authorization, issuance, sale, preparation and delivery of the Shares and any taxes payable in that connection (excluding any stock transfer taxes payable by the Selling Stockholders pursuant to Section 2(d)); (ii) the costs incident to the preparation, printing and filing under the Securities Act of the Registration Statement, the Preliminary Prospectus, any Issuer Free Writing Prospectus, any Pricing Disclosure Package and the Prospectus (including all exhibits, amendments and supplements thereto) and the distribution thereof; (iii) the fees and expenses of the Company’s counsel and independent accountants; (iv) the fees and expenses incurred in connection with the registration or qualification and determination of eligibility for investment of the Shares under the state or foreign securities or blue sky laws of such jurisdictions as you may designate and the preparation, printing and distribution of a Blue Sky Memorandum (including the related fees and expenses of counsel for the Underwriter not to exceed $15,000); (v) the cost of preparing stock certificates, if applicable; (vi) the costs and charges of any transfer agent and any registrar; (vii) all expenses and application fees incurred in connection with any filing with, and clearance of the offering by, FINRA of up to $25,000; (viii) all expenses incurred by the Company in connection with any “road show” presentation to potential investors; and (ix) all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expenses and application fees related to maintaining the listing of the Shares on the New York Stock Exchange.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If (i) this Agreement is terminated pursuant to Section 11 or (ii) the Selling Stockholders for any reason fail to tender the Shares for delivery to you or (iii) you decline to purchase the Shares for any reason permitted under this Agreement, the Company and the Selling Stockholders agree to reimburse you for all documented out-of-pocket costs and expenses (including the documented fees and expenses of your counsel) reasonably incurred by you in connection with this Agreement and the offering contemplated hereby.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14. </w:t>
      </w:r>
      <w:r>
        <w:rPr>
          <w:rFonts w:ascii="Times New Roman" w:hAnsi="Times New Roman"/>
          <w:color w:val="000000"/>
          <w:sz w:val="24"/>
          <w:u w:val="single"/>
        </w:rPr>
        <w:t>Persons Entitled to Benefit of Agreement</w:t>
      </w:r>
      <w:r>
        <w:rPr>
          <w:rFonts w:ascii="Times New Roman" w:hAnsi="Times New Roman"/>
          <w:color w:val="000000"/>
          <w:sz w:val="24"/>
        </w:rPr>
        <w:t>. This Agreement shall inure to the benefit of and be binding upon the parties hereto and their respective successors and the officers and directors and any controlling persons referred to herein and the affiliates of the Underwriter referred to in Section 9 hereof. Nothing in this Agreement is intended or shall be construed to give any other person any legal or equitable right, remedy or claim under or in respect of this Agreement or any provision contained herein. No purchaser of Shares from the Underwriter shall be deemed to be a successor merely by reason of such purchase.</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15. </w:t>
      </w:r>
      <w:r>
        <w:rPr>
          <w:rFonts w:ascii="Times New Roman" w:hAnsi="Times New Roman"/>
          <w:color w:val="000000"/>
          <w:sz w:val="24"/>
          <w:u w:val="single"/>
        </w:rPr>
        <w:t>Survival</w:t>
      </w:r>
      <w:r>
        <w:rPr>
          <w:rFonts w:ascii="Times New Roman" w:hAnsi="Times New Roman"/>
          <w:color w:val="000000"/>
          <w:sz w:val="24"/>
        </w:rPr>
        <w:t>. The respective indemnities, rights of contribution, representations, warranties and agreements of the Company, the Selling Stockholders and the Underwriter contained in this Agreement or made by or on behalf of the Company, the Selling Stockholders or the Underwriter pursuant to this Agreement or any certificate delivered pursuant hereto shall survive the delivery of and payment for the Shares and shall remain in full force and effect, regardless of any termination of this Agreement or any investigation made by or on behalf of the Company, the Selling Stockholders or the Underwriter or the directors, officers, controlling persons or affiliates referred to in Section 9 hereof.</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16. </w:t>
      </w:r>
      <w:r>
        <w:rPr>
          <w:rFonts w:ascii="Times New Roman" w:hAnsi="Times New Roman"/>
          <w:color w:val="000000"/>
          <w:sz w:val="24"/>
          <w:u w:val="single"/>
        </w:rPr>
        <w:t>Certain Defined Terms</w:t>
      </w:r>
      <w:r>
        <w:rPr>
          <w:rFonts w:ascii="Times New Roman" w:hAnsi="Times New Roman"/>
          <w:color w:val="000000"/>
          <w:sz w:val="24"/>
        </w:rPr>
        <w:t>. For purposes of this Agreement, (a) except where otherwise expressly provided, the term “affiliate” has the meaning set forth in Rule 405 under the Securities Act; (b) the term “business day” means any day other than a day on which banks are permitted or required to be closed in New York City; (c) the term “subsidiary” has the meaning set forth in Rule 405 under the Securities Act; and (d) the term “significant subsidiary” has the meaning set forth in Rule 1-02 of Regulation S-X under the Exchange Act.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17. </w:t>
      </w:r>
      <w:r>
        <w:rPr>
          <w:rFonts w:ascii="Times New Roman" w:hAnsi="Times New Roman"/>
          <w:color w:val="000000"/>
          <w:sz w:val="24"/>
          <w:u w:val="single"/>
        </w:rPr>
        <w:t>Compliance with USA Patriot Act</w:t>
      </w:r>
      <w:r>
        <w:rPr>
          <w:rFonts w:ascii="Times New Roman" w:hAnsi="Times New Roman"/>
          <w:color w:val="000000"/>
          <w:sz w:val="24"/>
        </w:rPr>
        <w:t>. In accordance with the requirements of the USA Patriot Act (Title III of Pub. L. 107-56 (signed into law October 26, 2001)), the Underwriter is required to obtain, verify and record information that identifies its clients, including the Company and the Selling Stockholders, which information may include the name and address of its clients, as well as other information that will allow the Underwriter to properly identify its clients.</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18. </w:t>
      </w:r>
      <w:r>
        <w:rPr>
          <w:rFonts w:ascii="Times New Roman" w:hAnsi="Times New Roman"/>
          <w:color w:val="000000"/>
          <w:sz w:val="24"/>
          <w:u w:val="single"/>
        </w:rPr>
        <w:t>Miscellaneous</w:t>
      </w:r>
      <w:r>
        <w:rPr>
          <w:rFonts w:ascii="Times New Roman" w:hAnsi="Times New Roman"/>
          <w:color w:val="000000"/>
          <w:sz w:val="24"/>
        </w:rPr>
        <w:t>.</w:t>
      </w:r>
    </w:p>
    <w:p>
      <w:pPr>
        <w:pStyle w:val="TextBody"/>
        <w:bidi w:val="0"/>
        <w:spacing w:before="0" w:after="240"/>
        <w:jc w:val="left"/>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i/>
          <w:color w:val="000000"/>
          <w:sz w:val="24"/>
        </w:rPr>
        <w:t xml:space="preserve">Notices. </w:t>
      </w:r>
      <w:r>
        <w:rPr>
          <w:rFonts w:ascii="Times New Roman" w:hAnsi="Times New Roman"/>
          <w:color w:val="000000"/>
          <w:sz w:val="24"/>
        </w:rPr>
        <w:t>All notices and other communications hereunder shall be in writing and shall be deemed to have been duly given if mailed or transmitted and confirmed by any standard form of telecommunication. Notices to you shall be given c/o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34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Barclays Capital Inc., 745 Seventh Avenue, New York, NY 10019. Notices to the Company shall be given to it at Innovex International, Inc., 19120 Kenswick Drive, Humble, Texas 77338, (Email: kendal.reed@innovex-inc.com); Attention: Kendal Reed. Notices to the Selling Stockholders shall be given to them at Amberjack Capital Partners, L.P., 4400 Post Oak Parkway, Suite 2760, Houston, Texas 77027, (Email: JT@amberjackcapital.com); Attention: Jason Turowsky.</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(b) </w:t>
      </w:r>
      <w:r>
        <w:rPr>
          <w:rFonts w:ascii="Times New Roman" w:hAnsi="Times New Roman"/>
          <w:i/>
          <w:color w:val="000000"/>
          <w:sz w:val="24"/>
        </w:rPr>
        <w:t xml:space="preserve">Governing Law. </w:t>
      </w:r>
      <w:r>
        <w:rPr>
          <w:rFonts w:ascii="Times New Roman" w:hAnsi="Times New Roman"/>
          <w:color w:val="000000"/>
          <w:sz w:val="24"/>
        </w:rPr>
        <w:t>This Agreement and any claim, controversy or dispute arising under or related to this Agreement shall be governed by and construed in accordance with the laws of the State of New York.</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(c) </w:t>
      </w:r>
      <w:r>
        <w:rPr>
          <w:rFonts w:ascii="Times New Roman" w:hAnsi="Times New Roman"/>
          <w:i/>
          <w:color w:val="000000"/>
          <w:sz w:val="24"/>
        </w:rPr>
        <w:t>Submission to Jurisdiction</w:t>
      </w:r>
      <w:r>
        <w:rPr>
          <w:rFonts w:ascii="Times New Roman" w:hAnsi="Times New Roman"/>
          <w:color w:val="000000"/>
          <w:sz w:val="24"/>
        </w:rPr>
        <w:t>. Each of the Company and the Selling Stockholders hereby submit to the exclusive jurisdiction of the U.S. federal and New York state courts in the Borough of Manhattan in The City of New York in any suit or proceeding arising out of or relating to this Agreement or the transactions contemplated hereby. Each of the Company and the Selling Stockholders waive any objection which it may now or hereafter have to the laying of venue of any such suit or proceeding in such courts. Each of the Company and the Selling Stockholders agree that final judgment in any such suit, action or proceeding brought in such court shall be conclusive and binding upon the Company and each Selling Stockholder, as applicable, and may be enforced in any court to the jurisdiction of which Company and each Selling Stockholder, as applicable, is subject by a suit upon such judgment.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(d)</w:t>
      </w:r>
      <w:r>
        <w:rPr>
          <w:rFonts w:ascii="Times New Roman" w:hAnsi="Times New Roman"/>
          <w:color w:val="000000"/>
          <w:sz w:val="20"/>
        </w:rPr>
        <w:t xml:space="preserve"> </w:t>
      </w:r>
      <w:r>
        <w:rPr>
          <w:rFonts w:ascii="Times New Roman" w:hAnsi="Times New Roman"/>
          <w:i/>
          <w:color w:val="000000"/>
          <w:sz w:val="24"/>
        </w:rPr>
        <w:t>Waiver of Jury Trial.</w:t>
      </w:r>
      <w:r>
        <w:rPr>
          <w:rFonts w:ascii="Times New Roman" w:hAnsi="Times New Roman"/>
          <w:color w:val="000000"/>
          <w:sz w:val="20"/>
        </w:rPr>
        <w:t xml:space="preserve"> </w:t>
      </w:r>
      <w:r>
        <w:rPr>
          <w:rFonts w:ascii="Times New Roman" w:hAnsi="Times New Roman"/>
          <w:color w:val="000000"/>
          <w:sz w:val="24"/>
        </w:rPr>
        <w:t>Each of the parties hereto hereby waives any right to trial by jury in any suit or proceeding arising out of or relating to this Agreement.</w:t>
      </w:r>
    </w:p>
    <w:p>
      <w:pPr>
        <w:pStyle w:val="TextBody"/>
        <w:bidi w:val="0"/>
        <w:spacing w:before="0" w:after="240"/>
        <w:jc w:val="left"/>
        <w:rPr>
          <w:rFonts w:ascii="Times New Roman" w:hAnsi="Times New Roman"/>
          <w:sz w:val="20"/>
        </w:rPr>
      </w:pPr>
      <w:r>
        <w:rPr>
          <w:rFonts w:ascii="Times New Roman" w:hAnsi="Times New Roman"/>
          <w:color w:val="000000"/>
          <w:sz w:val="24"/>
        </w:rPr>
        <w:t>(e)</w:t>
      </w:r>
      <w:r>
        <w:rPr>
          <w:rFonts w:ascii="Times New Roman" w:hAnsi="Times New Roman"/>
          <w:color w:val="000000"/>
          <w:sz w:val="20"/>
        </w:rPr>
        <w:t xml:space="preserve"> </w:t>
      </w:r>
      <w:r>
        <w:rPr>
          <w:rFonts w:ascii="Times New Roman" w:hAnsi="Times New Roman"/>
          <w:i/>
          <w:color w:val="000000"/>
          <w:sz w:val="24"/>
        </w:rPr>
        <w:t>Recognition of the U.S. Special Resolution Regimes</w:t>
      </w:r>
      <w:r>
        <w:rPr>
          <w:rFonts w:ascii="Times New Roman" w:hAnsi="Times New Roman"/>
          <w:color w:val="000000"/>
          <w:sz w:val="24"/>
        </w:rPr>
        <w: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 In the event that the Underwriter is a Covered Entity and becomes subject to a 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In the event that the Underwriter is a Covered Entity or a BHC Act Affiliate of the Underwriter becomes subject to a proceeding under a U.S. Special Resolution Regime, Default Rights under this Agreement that may be exercised against the Underwriter is permitted to be exercised to no greater extent than such Default Rights could be exercised under the U.S. Special Resolution Regime if this Agreement were governed by the laws of the United States or a state of the United States.</w:t>
      </w:r>
    </w:p>
    <w:p>
      <w:pPr>
        <w:pStyle w:val="TextBody"/>
        <w:bidi w:val="0"/>
        <w:jc w:val="center"/>
        <w:rPr>
          <w:rFonts w:ascii="Times New Roman" w:hAnsi="Times New Roman"/>
          <w:color w:val="000000"/>
          <w:sz w:val="22"/>
        </w:rPr>
      </w:pPr>
      <w:r>
        <w:rPr>
          <w:rFonts w:ascii="Times New Roman" w:hAnsi="Times New Roman"/>
          <w:color w:val="000000"/>
          <w:sz w:val="22"/>
        </w:rPr>
        <w:t>35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As used in this Section 18(e):</w:t>
      </w:r>
    </w:p>
    <w:p>
      <w:pPr>
        <w:pStyle w:val="Heading2"/>
        <w:bidi w:val="0"/>
        <w:spacing w:before="0" w:after="240"/>
        <w:jc w:val="left"/>
        <w:rPr/>
      </w:pPr>
      <w:r>
        <w:rPr>
          <w:color w:val="000000"/>
        </w:rPr>
        <w:t>“</w:t>
      </w:r>
      <w:r>
        <w:rPr>
          <w:rFonts w:ascii="Times New Roman" w:hAnsi="Times New Roman"/>
          <w:b w:val="false"/>
          <w:color w:val="000000"/>
          <w:sz w:val="24"/>
        </w:rPr>
        <w:t>BHC Act Affiliate” has the meaning assigned to the term “affiliate” in, and shall be interpreted in accordance with, 12 U.S.C. § 1841(k).</w:t>
      </w:r>
      <w:r>
        <w:rPr>
          <w:rFonts w:ascii="Times New Roman" w:hAnsi="Times New Roman"/>
          <w:color w:val="000000"/>
          <w:sz w:val="20"/>
        </w:rPr>
        <w:t xml:space="preserve"> </w:t>
      </w:r>
    </w:p>
    <w:p>
      <w:pPr>
        <w:pStyle w:val="Heading2"/>
        <w:bidi w:val="0"/>
        <w:spacing w:before="0" w:after="240"/>
        <w:jc w:val="left"/>
        <w:rPr/>
      </w:pPr>
      <w:r>
        <w:rPr>
          <w:color w:val="000000"/>
        </w:rPr>
        <w:t>“</w:t>
      </w:r>
      <w:r>
        <w:rPr>
          <w:rFonts w:ascii="Times New Roman" w:hAnsi="Times New Roman"/>
          <w:b w:val="false"/>
          <w:color w:val="000000"/>
          <w:sz w:val="24"/>
        </w:rPr>
        <w:t>Covered Entity” means any of the following:</w:t>
      </w:r>
      <w:r>
        <w:rPr>
          <w:rFonts w:ascii="Times New Roman" w:hAnsi="Times New Roman"/>
          <w:color w:val="000000"/>
          <w:sz w:val="20"/>
        </w:rPr>
        <w:t xml:space="preserve"> </w:t>
      </w:r>
    </w:p>
    <w:p>
      <w:pPr>
        <w:pStyle w:val="Heading2"/>
        <w:bidi w:val="0"/>
        <w:spacing w:before="0" w:after="240"/>
        <w:jc w:val="left"/>
        <w:rPr>
          <w:rFonts w:ascii="Times New Roman" w:hAnsi="Times New Roman"/>
          <w:b w:val="false"/>
          <w:color w:val="000000"/>
          <w:sz w:val="24"/>
        </w:rPr>
      </w:pPr>
      <w:r>
        <w:rPr>
          <w:rFonts w:ascii="Times New Roman" w:hAnsi="Times New Roman"/>
          <w:b w:val="false"/>
          <w:color w:val="000000"/>
          <w:sz w:val="24"/>
        </w:rPr>
        <w:t>(i) a “covered entity” as that term is defined in, and interpreted in accordance with, 12 C.F.R. § 252.82(b);</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a “covered bank” as that term is defined in, and interpreted in accordance with, 12 C.F.R. § 47.3(b); or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a “covered FSI” as that term is defined in, and interpreted in accordance with, 12 C.F.R. § 382.2(b).</w:t>
      </w:r>
    </w:p>
    <w:p>
      <w:pPr>
        <w:pStyle w:val="TextBody"/>
        <w:bidi w:val="0"/>
        <w:spacing w:before="0" w:after="240"/>
        <w:jc w:val="left"/>
        <w:rPr>
          <w:color w:val="000000"/>
        </w:rPr>
      </w:pPr>
      <w:r>
        <w:rPr>
          <w:color w:val="000000"/>
        </w:rPr>
        <w:t>“</w:t>
      </w:r>
      <w:r>
        <w:rPr>
          <w:rFonts w:ascii="Times New Roman" w:hAnsi="Times New Roman"/>
          <w:color w:val="000000"/>
          <w:sz w:val="24"/>
        </w:rPr>
        <w:t>Default Right” has the meaning assigned to that term in, and shall be interpreted in accordance with, 12 C.F.R. §§ 252.81, 47.2 or 382.1, as applicable.</w:t>
      </w:r>
    </w:p>
    <w:p>
      <w:pPr>
        <w:pStyle w:val="Heading2"/>
        <w:bidi w:val="0"/>
        <w:spacing w:before="0" w:after="240"/>
        <w:jc w:val="left"/>
        <w:rPr>
          <w:color w:val="000000"/>
        </w:rPr>
      </w:pPr>
      <w:r>
        <w:rPr>
          <w:color w:val="000000"/>
        </w:rPr>
        <w:t>“</w:t>
      </w:r>
      <w:r>
        <w:rPr>
          <w:rFonts w:ascii="Times New Roman" w:hAnsi="Times New Roman"/>
          <w:b w:val="false"/>
          <w:color w:val="000000"/>
          <w:sz w:val="24"/>
        </w:rPr>
        <w:t>U.S. Special Resolution Regime” means each of (i) the Federal Deposit Insurance Act and the regulations promulgated thereunder and (ii) Title II of the Dodd-Frank Wall Street Reform and Consumer Protection Act and the regulations promulgated thereunder.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(f) </w:t>
      </w:r>
      <w:r>
        <w:rPr>
          <w:rFonts w:ascii="Times New Roman" w:hAnsi="Times New Roman"/>
          <w:i/>
          <w:color w:val="000000"/>
          <w:sz w:val="24"/>
        </w:rPr>
        <w:t xml:space="preserve">Counterparts. </w:t>
      </w:r>
      <w:r>
        <w:rPr>
          <w:rFonts w:ascii="Times New Roman" w:hAnsi="Times New Roman"/>
          <w:color w:val="000000"/>
          <w:sz w:val="24"/>
        </w:rPr>
        <w:t>This Agreement may be signed in counterparts (which may include counterparts delivered by any standard form of telecommunication), each of which shall be an original and all of which together shall constitute one and the same instrument.</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(g) </w:t>
      </w:r>
      <w:r>
        <w:rPr>
          <w:rFonts w:ascii="Times New Roman" w:hAnsi="Times New Roman"/>
          <w:i/>
          <w:color w:val="000000"/>
          <w:sz w:val="24"/>
        </w:rPr>
        <w:t xml:space="preserve">Amendments or Waivers. </w:t>
      </w:r>
      <w:r>
        <w:rPr>
          <w:rFonts w:ascii="Times New Roman" w:hAnsi="Times New Roman"/>
          <w:color w:val="000000"/>
          <w:sz w:val="24"/>
        </w:rPr>
        <w:t>No amendment or waiver of any provision of this Agreement, nor any consent or approval to any departure therefrom, shall in any event be effective unless the same shall be in writing and signed by the parties hereto.</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(h) </w:t>
      </w:r>
      <w:r>
        <w:rPr>
          <w:rFonts w:ascii="Times New Roman" w:hAnsi="Times New Roman"/>
          <w:i/>
          <w:color w:val="000000"/>
          <w:sz w:val="24"/>
        </w:rPr>
        <w:t xml:space="preserve">Headings. </w:t>
      </w:r>
      <w:r>
        <w:rPr>
          <w:rFonts w:ascii="Times New Roman" w:hAnsi="Times New Roman"/>
          <w:color w:val="000000"/>
          <w:sz w:val="24"/>
        </w:rPr>
        <w:t>The headings herein are included for convenience of reference only and are not intended to be part of, or to affect the meaning or interpretation of, this Agreement.</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left"/>
        <w:rPr/>
      </w:pPr>
      <w:r>
        <w:rPr/>
        <w:t> </w:t>
      </w:r>
    </w:p>
    <w:p>
      <w:pPr>
        <w:pStyle w:val="TextBody"/>
        <w:bidi w:val="0"/>
        <w:spacing w:before="0" w:after="240"/>
        <w:jc w:val="center"/>
        <w:rPr>
          <w:rFonts w:ascii="Times New Roman" w:hAnsi="Times New Roman"/>
          <w:i/>
          <w:color w:val="000000"/>
          <w:sz w:val="24"/>
        </w:rPr>
      </w:pPr>
      <w:r>
        <w:rPr>
          <w:rFonts w:ascii="Times New Roman" w:hAnsi="Times New Roman"/>
          <w:i/>
          <w:color w:val="000000"/>
          <w:sz w:val="24"/>
        </w:rPr>
        <w:t>[Signature Pages to Follow]</w:t>
      </w:r>
    </w:p>
    <w:p>
      <w:pPr>
        <w:pStyle w:val="TextBody"/>
        <w:bidi w:val="0"/>
        <w:jc w:val="center"/>
        <w:rPr>
          <w:rFonts w:ascii="Times New Roman" w:hAnsi="Times New Roman"/>
          <w:color w:val="000000"/>
          <w:sz w:val="22"/>
        </w:rPr>
      </w:pPr>
      <w:r>
        <w:rPr>
          <w:rFonts w:ascii="Times New Roman" w:hAnsi="Times New Roman"/>
          <w:color w:val="000000"/>
          <w:sz w:val="22"/>
        </w:rPr>
        <w:t>36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If the foregoing is in accordance with your understanding, please indicate your acceptance of this Agreement by signing in the space provided below.</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INNOVEX INTERNATIONAL, INC.</w:t>
      </w:r>
    </w:p>
    <w:p>
      <w:pPr>
        <w:pStyle w:val="TextBody"/>
        <w:bidi w:val="0"/>
        <w:spacing w:before="24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Kendal Reed </w:t>
      </w:r>
      <w:r>
        <w:rPr>
          <w:rFonts w:ascii="Times New Roman" w:hAnsi="Times New Roman"/>
          <w:color w:val="000000"/>
          <w:sz w:val="24"/>
        </w:rPr>
        <w:br/>
        <w:t>Name: Kendal Reed</w:t>
        <w:br/>
        <w:t>Title: Chief Financial Officer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INTERVALE CAPITAL FUND II, L.P.</w:t>
      </w:r>
    </w:p>
    <w:p>
      <w:pPr>
        <w:pStyle w:val="TextBody"/>
        <w:bidi w:val="0"/>
        <w:jc w:val="left"/>
        <w:rPr>
          <w:rFonts w:ascii="Times New Roman" w:hAnsi="Times New Roman"/>
          <w:color w:val="000000"/>
          <w:sz w:val="24"/>
        </w:rPr>
      </w:pPr>
      <w:r>
        <w:rPr>
          <w:rFonts w:ascii="Times New Roman" w:hAnsi="Times New Roman"/>
          <w:color w:val="000000"/>
          <w:sz w:val="24"/>
        </w:rPr>
        <w:t>By: Intervale Capital GP II, L.P., its general partner</w:t>
      </w:r>
    </w:p>
    <w:p>
      <w:pPr>
        <w:pStyle w:val="TextBody"/>
        <w:bidi w:val="0"/>
        <w:jc w:val="left"/>
        <w:rPr>
          <w:rFonts w:ascii="Times New Roman" w:hAnsi="Times New Roman"/>
          <w:color w:val="000000"/>
          <w:sz w:val="24"/>
        </w:rPr>
      </w:pPr>
      <w:r>
        <w:rPr>
          <w:rFonts w:ascii="Times New Roman" w:hAnsi="Times New Roman"/>
          <w:color w:val="000000"/>
          <w:sz w:val="24"/>
        </w:rPr>
        <w:t>By: Intervale Capital Associates II, LLC, its general partner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Turowsky </w:t>
      </w:r>
      <w:r>
        <w:rPr>
          <w:rFonts w:ascii="Times New Roman" w:hAnsi="Times New Roman"/>
          <w:color w:val="000000"/>
          <w:sz w:val="24"/>
        </w:rPr>
        <w:br/>
        <w:t>Name: Jason Turowsky</w:t>
        <w:br/>
        <w:t>Title: Partner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INTERVALE CAPITAL FUND II-A, L.P.</w:t>
      </w:r>
    </w:p>
    <w:p>
      <w:pPr>
        <w:pStyle w:val="TextBody"/>
        <w:bidi w:val="0"/>
        <w:jc w:val="left"/>
        <w:rPr>
          <w:rFonts w:ascii="Times New Roman" w:hAnsi="Times New Roman"/>
          <w:color w:val="000000"/>
          <w:sz w:val="24"/>
        </w:rPr>
      </w:pPr>
      <w:r>
        <w:rPr>
          <w:rFonts w:ascii="Times New Roman" w:hAnsi="Times New Roman"/>
          <w:color w:val="000000"/>
          <w:sz w:val="24"/>
        </w:rPr>
        <w:t>By: Intervale Capital GP II, L.P., its general partner</w:t>
      </w:r>
    </w:p>
    <w:p>
      <w:pPr>
        <w:pStyle w:val="TextBody"/>
        <w:bidi w:val="0"/>
        <w:jc w:val="left"/>
        <w:rPr>
          <w:rFonts w:ascii="Times New Roman" w:hAnsi="Times New Roman"/>
          <w:color w:val="000000"/>
          <w:sz w:val="24"/>
        </w:rPr>
      </w:pPr>
      <w:r>
        <w:rPr>
          <w:rFonts w:ascii="Times New Roman" w:hAnsi="Times New Roman"/>
          <w:color w:val="000000"/>
          <w:sz w:val="24"/>
        </w:rPr>
        <w:t>By: Intervale Capital Associates II, LLC, its general partner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Turowsky </w:t>
      </w:r>
      <w:r>
        <w:rPr>
          <w:rFonts w:ascii="Times New Roman" w:hAnsi="Times New Roman"/>
          <w:color w:val="000000"/>
          <w:sz w:val="24"/>
        </w:rPr>
        <w:br/>
        <w:t>Name: Jason Turowsky</w:t>
        <w:br/>
        <w:t>Title: Partner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INTERVALE CAPITAL FUND III, L.P.</w:t>
      </w:r>
    </w:p>
    <w:p>
      <w:pPr>
        <w:pStyle w:val="TextBody"/>
        <w:bidi w:val="0"/>
        <w:jc w:val="left"/>
        <w:rPr>
          <w:rFonts w:ascii="Times New Roman" w:hAnsi="Times New Roman"/>
          <w:color w:val="000000"/>
          <w:sz w:val="24"/>
        </w:rPr>
      </w:pPr>
      <w:r>
        <w:rPr>
          <w:rFonts w:ascii="Times New Roman" w:hAnsi="Times New Roman"/>
          <w:color w:val="000000"/>
          <w:sz w:val="24"/>
        </w:rPr>
        <w:t>By: Intervale Capital GP III, L.P., its general partner</w:t>
      </w:r>
    </w:p>
    <w:p>
      <w:pPr>
        <w:pStyle w:val="TextBody"/>
        <w:bidi w:val="0"/>
        <w:jc w:val="left"/>
        <w:rPr>
          <w:rFonts w:ascii="Times New Roman" w:hAnsi="Times New Roman"/>
          <w:color w:val="000000"/>
          <w:sz w:val="24"/>
        </w:rPr>
      </w:pPr>
      <w:r>
        <w:rPr>
          <w:rFonts w:ascii="Times New Roman" w:hAnsi="Times New Roman"/>
          <w:color w:val="000000"/>
          <w:sz w:val="24"/>
        </w:rPr>
        <w:t>By: Intervale Capital Associates III, LLC, its general partner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Turowsky </w:t>
      </w:r>
      <w:r>
        <w:rPr>
          <w:rFonts w:ascii="Times New Roman" w:hAnsi="Times New Roman"/>
          <w:color w:val="000000"/>
          <w:sz w:val="24"/>
        </w:rPr>
        <w:br/>
        <w:t>Name: Jason Turowsky</w:t>
        <w:br/>
        <w:t>Title: Partner</w:t>
      </w:r>
    </w:p>
    <w:p>
      <w:pPr>
        <w:pStyle w:val="TextBody"/>
        <w:bidi w:val="0"/>
        <w:jc w:val="center"/>
        <w:rPr>
          <w:rFonts w:ascii="Times New Roman" w:hAnsi="Times New Roman"/>
          <w:color w:val="000000"/>
          <w:sz w:val="22"/>
        </w:rPr>
      </w:pPr>
      <w:r>
        <w:rPr>
          <w:rFonts w:ascii="Times New Roman" w:hAnsi="Times New Roman"/>
          <w:color w:val="000000"/>
          <w:sz w:val="22"/>
        </w:rPr>
        <w:t>[Signature Page to Underwriting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AMBERJACK CAPITAL FUND II, L.P.</w:t>
      </w:r>
    </w:p>
    <w:p>
      <w:pPr>
        <w:pStyle w:val="TextBody"/>
        <w:bidi w:val="0"/>
        <w:jc w:val="left"/>
        <w:rPr>
          <w:rFonts w:ascii="Times New Roman" w:hAnsi="Times New Roman"/>
          <w:color w:val="000000"/>
          <w:sz w:val="24"/>
        </w:rPr>
      </w:pPr>
      <w:r>
        <w:rPr>
          <w:rFonts w:ascii="Times New Roman" w:hAnsi="Times New Roman"/>
          <w:color w:val="000000"/>
          <w:sz w:val="24"/>
        </w:rPr>
        <w:t>By: Amberjack Capital GP II, L.P., its general partner</w:t>
      </w:r>
    </w:p>
    <w:p>
      <w:pPr>
        <w:pStyle w:val="TextBody"/>
        <w:bidi w:val="0"/>
        <w:jc w:val="left"/>
        <w:rPr>
          <w:rFonts w:ascii="Times New Roman" w:hAnsi="Times New Roman"/>
          <w:color w:val="000000"/>
          <w:sz w:val="24"/>
        </w:rPr>
      </w:pPr>
      <w:r>
        <w:rPr>
          <w:rFonts w:ascii="Times New Roman" w:hAnsi="Times New Roman"/>
          <w:color w:val="000000"/>
          <w:sz w:val="24"/>
        </w:rPr>
        <w:t>By: Amberjack Capital Associates II, LLC, its general partner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Turowsky </w:t>
      </w:r>
      <w:r>
        <w:rPr>
          <w:rFonts w:ascii="Times New Roman" w:hAnsi="Times New Roman"/>
          <w:color w:val="000000"/>
          <w:sz w:val="24"/>
        </w:rPr>
        <w:br/>
        <w:t>Name: Jason Turowsky</w:t>
        <w:br/>
        <w:t>Title: Partner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INNOVEX CO-INVEST FUND, L.P.</w:t>
      </w:r>
    </w:p>
    <w:p>
      <w:pPr>
        <w:pStyle w:val="TextBody"/>
        <w:bidi w:val="0"/>
        <w:jc w:val="left"/>
        <w:rPr>
          <w:rFonts w:ascii="Times New Roman" w:hAnsi="Times New Roman"/>
          <w:color w:val="000000"/>
          <w:sz w:val="24"/>
        </w:rPr>
      </w:pPr>
      <w:r>
        <w:rPr>
          <w:rFonts w:ascii="Times New Roman" w:hAnsi="Times New Roman"/>
          <w:color w:val="000000"/>
          <w:sz w:val="24"/>
        </w:rPr>
        <w:t>By: Innovex Co-Invest Fund GP, L.P., its general partner</w:t>
      </w:r>
    </w:p>
    <w:p>
      <w:pPr>
        <w:pStyle w:val="TextBody"/>
        <w:bidi w:val="0"/>
        <w:jc w:val="left"/>
        <w:rPr>
          <w:rFonts w:ascii="Times New Roman" w:hAnsi="Times New Roman"/>
          <w:color w:val="000000"/>
          <w:sz w:val="24"/>
        </w:rPr>
      </w:pPr>
      <w:r>
        <w:rPr>
          <w:rFonts w:ascii="Times New Roman" w:hAnsi="Times New Roman"/>
          <w:color w:val="000000"/>
          <w:sz w:val="24"/>
        </w:rPr>
        <w:t>By: Innovex Co-Invest Associates, LLC, its general partner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Turowsky </w:t>
      </w:r>
      <w:r>
        <w:rPr>
          <w:rFonts w:ascii="Times New Roman" w:hAnsi="Times New Roman"/>
          <w:color w:val="000000"/>
          <w:sz w:val="24"/>
        </w:rPr>
        <w:br/>
        <w:t>Name: Jason Turowsky</w:t>
        <w:br/>
        <w:t>Title: Partner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INNOVEX CO-INVEST FUND II, L.P.</w:t>
      </w:r>
    </w:p>
    <w:p>
      <w:pPr>
        <w:pStyle w:val="TextBody"/>
        <w:bidi w:val="0"/>
        <w:jc w:val="left"/>
        <w:rPr>
          <w:rFonts w:ascii="Times New Roman" w:hAnsi="Times New Roman"/>
          <w:color w:val="000000"/>
          <w:sz w:val="24"/>
        </w:rPr>
      </w:pPr>
      <w:r>
        <w:rPr>
          <w:rFonts w:ascii="Times New Roman" w:hAnsi="Times New Roman"/>
          <w:color w:val="000000"/>
          <w:sz w:val="24"/>
        </w:rPr>
        <w:t>By: Innovex Co-Invest Fund II GP, L.P., its general partner</w:t>
      </w:r>
    </w:p>
    <w:p>
      <w:pPr>
        <w:pStyle w:val="TextBody"/>
        <w:bidi w:val="0"/>
        <w:jc w:val="left"/>
        <w:rPr>
          <w:rFonts w:ascii="Times New Roman" w:hAnsi="Times New Roman"/>
          <w:color w:val="000000"/>
          <w:sz w:val="24"/>
        </w:rPr>
      </w:pPr>
      <w:r>
        <w:rPr>
          <w:rFonts w:ascii="Times New Roman" w:hAnsi="Times New Roman"/>
          <w:color w:val="000000"/>
          <w:sz w:val="24"/>
        </w:rPr>
        <w:t>By: Innovex Co-Invest Associates, LLC, its general partner</w:t>
      </w:r>
    </w:p>
    <w:p>
      <w:pPr>
        <w:pStyle w:val="TextBody"/>
        <w:bidi w:val="0"/>
        <w:spacing w:before="480" w:after="480"/>
        <w:jc w:val="left"/>
        <w:rPr>
          <w:rFonts w:ascii="Times New Roman" w:hAnsi="Times New Roman"/>
          <w:sz w:val="20"/>
        </w:rPr>
      </w:pPr>
      <w:r>
        <w:rPr>
          <w:rFonts w:ascii="Times New Roman" w:hAnsi="Times New Roman"/>
          <w:color w:val="000000"/>
          <w:sz w:val="24"/>
        </w:rPr>
        <w:t xml:space="preserve">By: </w:t>
      </w:r>
      <w:r>
        <w:rPr>
          <w:rFonts w:ascii="Times New Roman" w:hAnsi="Times New Roman"/>
          <w:color w:val="000000"/>
          <w:sz w:val="24"/>
          <w:u w:val="single"/>
        </w:rPr>
        <w:t xml:space="preserve">/s/ Jason Turowsky </w:t>
      </w:r>
      <w:r>
        <w:rPr>
          <w:rFonts w:ascii="Times New Roman" w:hAnsi="Times New Roman"/>
          <w:color w:val="000000"/>
          <w:sz w:val="24"/>
        </w:rPr>
        <w:br/>
        <w:t>Name: Jason Turowsky</w:t>
        <w:br/>
        <w:t>Title: Partner</w:t>
      </w:r>
    </w:p>
    <w:p>
      <w:pPr>
        <w:pStyle w:val="TextBody"/>
        <w:bidi w:val="0"/>
        <w:spacing w:before="0" w:after="480"/>
        <w:jc w:val="left"/>
        <w:rPr/>
      </w:pPr>
      <w:r>
        <w:rPr/>
        <w:t> </w:t>
      </w:r>
    </w:p>
    <w:p>
      <w:pPr>
        <w:pStyle w:val="TextBody"/>
        <w:bidi w:val="0"/>
        <w:spacing w:before="0" w:after="480"/>
        <w:jc w:val="left"/>
        <w:rPr/>
      </w:pPr>
      <w:r>
        <w:rPr/>
        <w:t> </w:t>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Underwriting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Accepted: As of the date first written above</w:t>
      </w:r>
    </w:p>
    <w:p>
      <w:pPr>
        <w:pStyle w:val="TextBody"/>
        <w:bidi w:val="0"/>
        <w:spacing w:before="240" w:after="283"/>
        <w:jc w:val="left"/>
        <w:rPr>
          <w:rFonts w:ascii="Times New Roman" w:hAnsi="Times New Roman"/>
          <w:caps/>
          <w:color w:val="000000"/>
          <w:sz w:val="24"/>
        </w:rPr>
      </w:pPr>
      <w:r>
        <w:rPr>
          <w:rFonts w:ascii="Times New Roman" w:hAnsi="Times New Roman"/>
          <w:caps/>
          <w:color w:val="000000"/>
          <w:sz w:val="24"/>
        </w:rPr>
        <w:t>Barclays Capital Inc.</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Randy Bennett </w:t>
      </w:r>
      <w:r>
        <w:rPr>
          <w:rFonts w:ascii="Times New Roman" w:hAnsi="Times New Roman"/>
          <w:color w:val="000000"/>
          <w:sz w:val="24"/>
        </w:rPr>
        <w:br/>
        <w:t>Name: Randy Bennett</w:t>
      </w:r>
    </w:p>
    <w:p>
      <w:pPr>
        <w:pStyle w:val="TextBody"/>
        <w:bidi w:val="0"/>
        <w:jc w:val="left"/>
        <w:rPr>
          <w:rFonts w:ascii="Times New Roman" w:hAnsi="Times New Roman"/>
          <w:color w:val="000000"/>
          <w:sz w:val="24"/>
        </w:rPr>
      </w:pPr>
      <w:r>
        <w:rPr>
          <w:rFonts w:ascii="Times New Roman" w:hAnsi="Times New Roman"/>
          <w:color w:val="000000"/>
          <w:sz w:val="24"/>
        </w:rPr>
        <w:t>Title: Director</w:t>
      </w:r>
    </w:p>
    <w:p>
      <w:pPr>
        <w:pStyle w:val="TextBody"/>
        <w:bidi w:val="0"/>
        <w:spacing w:before="240"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[Signature Page to Underwriting Agreement]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center"/>
        <w:rPr>
          <w:rFonts w:ascii="Times New Roman" w:hAnsi="Times New Roman"/>
          <w:b/>
          <w:color w:val="000000"/>
          <w:sz w:val="24"/>
          <w:u w:val="single"/>
        </w:rPr>
      </w:pPr>
      <w:r>
        <w:rPr>
          <w:rFonts w:ascii="Times New Roman" w:hAnsi="Times New Roman"/>
          <w:b/>
          <w:color w:val="000000"/>
          <w:sz w:val="24"/>
          <w:u w:val="single"/>
        </w:rPr>
        <w:t>Schedule 1</w:t>
      </w:r>
    </w:p>
    <w:tbl>
      <w:tblPr>
        <w:tblW w:w="5567" w:type="dxa"/>
        <w:jc w:val="left"/>
        <w:tblInd w:w="0" w:type="dxa"/>
        <w:tblLayout w:type="fixed"/>
        <w:tblCellMar>
          <w:top w:w="28" w:type="dxa"/>
          <w:left w:w="28" w:type="dxa"/>
          <w:bottom w:w="28" w:type="dxa"/>
          <w:right w:w="28" w:type="dxa"/>
        </w:tblCellMar>
      </w:tblPr>
      <w:tblGrid>
        <w:gridCol w:w="4321"/>
        <w:gridCol w:w="1246"/>
      </w:tblGrid>
      <w:tr>
        <w:trPr/>
        <w:tc>
          <w:tcPr>
            <w:tcW w:w="432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4321" w:type="dxa"/>
            <w:tcBorders/>
            <w:tcMar>
              <w:top w:w="0" w:type="dxa"/>
              <w:left w:w="0" w:type="dxa"/>
              <w:bottom w:w="0" w:type="dxa"/>
              <w:right w:w="0" w:type="dxa"/>
            </w:tcMar>
            <w:vAlign w:val="center"/>
          </w:tcPr>
          <w:p>
            <w:pPr>
              <w:pStyle w:val="TableContents"/>
              <w:bidi w:val="0"/>
              <w:jc w:val="center"/>
              <w:rPr>
                <w:rFonts w:ascii="Times New Roman" w:hAnsi="Times New Roman"/>
                <w:sz w:val="24"/>
              </w:rPr>
            </w:pPr>
            <w:r>
              <w:rPr>
                <w:rFonts w:ascii="Times New Roman" w:hAnsi="Times New Roman"/>
                <w:color w:val="000000"/>
                <w:sz w:val="24"/>
              </w:rPr>
              <w:br/>
            </w:r>
            <w:r>
              <w:rPr>
                <w:rFonts w:ascii="Times New Roman" w:hAnsi="Times New Roman"/>
                <w:color w:val="000000"/>
                <w:sz w:val="24"/>
                <w:u w:val="single"/>
              </w:rPr>
              <w:t>Selling Stockholder</w:t>
            </w:r>
          </w:p>
          <w:p>
            <w:pPr>
              <w:pStyle w:val="TableContents"/>
              <w:bidi w:val="0"/>
              <w:spacing w:before="0" w:after="283"/>
              <w:jc w:val="center"/>
              <w:rPr/>
            </w:pPr>
            <w:r>
              <w:rPr/>
              <w:t> </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4"/>
              </w:rPr>
            </w:pPr>
            <w:r>
              <w:rPr>
                <w:rFonts w:ascii="Times New Roman" w:hAnsi="Times New Roman"/>
                <w:color w:val="000000"/>
                <w:sz w:val="24"/>
                <w:u w:val="single"/>
              </w:rPr>
              <w:t>Number of</w:t>
            </w:r>
            <w:r>
              <w:rPr>
                <w:rFonts w:ascii="Times New Roman" w:hAnsi="Times New Roman"/>
                <w:color w:val="000000"/>
                <w:sz w:val="24"/>
              </w:rPr>
              <w:t xml:space="preserve"> </w:t>
              <w:br/>
            </w:r>
            <w:r>
              <w:rPr>
                <w:rFonts w:ascii="Times New Roman" w:hAnsi="Times New Roman"/>
                <w:color w:val="000000"/>
                <w:sz w:val="24"/>
                <w:u w:val="single"/>
              </w:rPr>
              <w:t>Shares</w:t>
            </w:r>
            <w:r>
              <w:rPr>
                <w:rFonts w:ascii="Times New Roman" w:hAnsi="Times New Roman"/>
                <w:color w:val="000000"/>
                <w:sz w:val="24"/>
              </w:rPr>
              <w:t>:</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AMBERJACK CAPITAL FUND II, L.P.</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3,706,801</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INNOVEX CO-INVEST FUND II, L.P.</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865,508</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INNOVEX CO-INVEST FUND, L.P.</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205,126</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INTERVALE CAPITAL FUND II, L.P.</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176,944</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INTERVALE CAPITAL FUND II-A, L.P.</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88</w:t>
            </w:r>
          </w:p>
        </w:tc>
      </w:tr>
      <w:tr>
        <w:trPr/>
        <w:tc>
          <w:tcPr>
            <w:tcW w:w="43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INTERVALE CAPITAL FUND III, L.P.</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45,533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Schedule 3</w:t>
      </w:r>
    </w:p>
    <w:p>
      <w:pPr>
        <w:pStyle w:val="TextBody"/>
        <w:bidi w:val="0"/>
        <w:jc w:val="righ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Attorneys-in-Fact</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Adam Anderson, the Chief Executive Officer of Innovex International, Inc.</w:t>
      </w:r>
    </w:p>
    <w:p>
      <w:pPr>
        <w:pStyle w:val="TextBody"/>
        <w:bidi w:val="0"/>
        <w:jc w:val="left"/>
        <w:rPr>
          <w:rFonts w:ascii="Times New Roman" w:hAnsi="Times New Roman"/>
          <w:color w:val="000000"/>
          <w:sz w:val="24"/>
        </w:rPr>
      </w:pPr>
      <w:r>
        <w:rPr>
          <w:rFonts w:ascii="Times New Roman" w:hAnsi="Times New Roman"/>
          <w:color w:val="000000"/>
          <w:sz w:val="24"/>
        </w:rPr>
        <w:t>Kendal Reed, the Chief Financial Officer of Innovex International, Inc.</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b/>
          <w:color w:val="000000"/>
          <w:sz w:val="24"/>
          <w:u w:val="single"/>
        </w:rPr>
      </w:pPr>
      <w:r>
        <w:rPr>
          <w:rFonts w:ascii="Times New Roman" w:hAnsi="Times New Roman"/>
          <w:b/>
          <w:color w:val="000000"/>
          <w:sz w:val="24"/>
          <w:u w:val="single"/>
        </w:rPr>
        <w:t>Annex A</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a. Pricing Disclosure Package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Issuer Free Writing Prospectuses to be included in the Pricing Disclosure Package: None.</w:t>
      </w:r>
    </w:p>
    <w:p>
      <w:pPr>
        <w:pStyle w:val="TextBody"/>
        <w:bidi w:val="0"/>
        <w:spacing w:before="0" w:after="240"/>
        <w:jc w:val="left"/>
        <w:rPr>
          <w:rFonts w:ascii="Times New Roman" w:hAnsi="Times New Roman"/>
          <w:b/>
          <w:color w:val="000000"/>
          <w:sz w:val="24"/>
        </w:rPr>
      </w:pPr>
      <w:r>
        <w:rPr>
          <w:rFonts w:ascii="Times New Roman" w:hAnsi="Times New Roman"/>
          <w:b/>
          <w:color w:val="000000"/>
          <w:sz w:val="24"/>
        </w:rPr>
        <w:t>b. Pricing Information Provided Orally by the Underwriter</w:t>
      </w:r>
    </w:p>
    <w:p>
      <w:pPr>
        <w:pStyle w:val="TextBody"/>
        <w:bidi w:val="0"/>
        <w:jc w:val="left"/>
        <w:rPr>
          <w:rFonts w:ascii="Times New Roman" w:hAnsi="Times New Roman"/>
          <w:color w:val="000000"/>
          <w:sz w:val="24"/>
        </w:rPr>
      </w:pPr>
      <w:r>
        <w:rPr>
          <w:rFonts w:ascii="Times New Roman" w:hAnsi="Times New Roman"/>
          <w:color w:val="000000"/>
          <w:sz w:val="24"/>
        </w:rPr>
        <w:t>Public offering price: as to each investor, the price paid by such investor, as described in the Preliminary Prospectus</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Number of Shares: 5,000,000</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480"/>
        <w:jc w:val="right"/>
        <w:rPr>
          <w:rFonts w:ascii="Times New Roman" w:hAnsi="Times New Roman"/>
          <w:b/>
          <w:color w:val="000000"/>
          <w:sz w:val="24"/>
          <w:u w:val="single"/>
        </w:rPr>
      </w:pPr>
      <w:r>
        <w:rPr>
          <w:rFonts w:ascii="Times New Roman" w:hAnsi="Times New Roman"/>
          <w:b/>
          <w:color w:val="000000"/>
          <w:sz w:val="24"/>
          <w:u w:val="single"/>
        </w:rPr>
        <w:t>Annex B</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Written Testing-the-Waters Communications</w:t>
      </w:r>
    </w:p>
    <w:p>
      <w:pPr>
        <w:pStyle w:val="TextBody"/>
        <w:bidi w:val="0"/>
        <w:jc w:val="left"/>
        <w:rPr>
          <w:rFonts w:ascii="Times New Roman" w:hAnsi="Times New Roman"/>
          <w:color w:val="000000"/>
          <w:sz w:val="24"/>
        </w:rPr>
      </w:pPr>
      <w:r>
        <w:rPr>
          <w:rFonts w:ascii="Times New Roman" w:hAnsi="Times New Roman"/>
          <w:color w:val="000000"/>
          <w:sz w:val="24"/>
        </w:rPr>
        <w:t>None.</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u w:val="single"/>
        </w:rPr>
      </w:pPr>
      <w:r>
        <w:rPr>
          <w:rFonts w:ascii="Times New Roman" w:hAnsi="Times New Roman"/>
          <w:b/>
          <w:color w:val="000000"/>
          <w:sz w:val="24"/>
          <w:u w:val="single"/>
        </w:rPr>
        <w:t>Exhibit A</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Form of Lock-up Agreement</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0" w:after="240"/>
        <w:jc w:val="center"/>
        <w:rPr/>
      </w:pPr>
      <w:r>
        <w:rPr/>
        <w:t> </w:t>
      </w:r>
    </w:p>
    <w:p>
      <w:pPr>
        <w:pStyle w:val="TextBody"/>
        <w:bidi w:val="0"/>
        <w:spacing w:before="240" w:after="283"/>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4"/>
        </w:rPr>
      </w:pPr>
      <w:r>
        <w:rPr>
          <w:rFonts w:ascii="Times New Roman" w:hAnsi="Times New Roman"/>
          <w:color w:val="000000"/>
          <w:sz w:val="24"/>
        </w:rPr>
        <w:t>LOCK-UP AGREEMENT</w:t>
      </w:r>
    </w:p>
    <w:p>
      <w:pPr>
        <w:pStyle w:val="TextBody"/>
        <w:bidi w:val="0"/>
        <w:spacing w:before="240" w:after="283"/>
        <w:jc w:val="right"/>
        <w:rPr>
          <w:rFonts w:ascii="Times New Roman" w:hAnsi="Times New Roman"/>
          <w:color w:val="000000"/>
          <w:sz w:val="24"/>
        </w:rPr>
      </w:pPr>
      <w:r>
        <w:rPr>
          <w:rFonts w:ascii="Times New Roman" w:hAnsi="Times New Roman"/>
          <w:color w:val="000000"/>
          <w:sz w:val="24"/>
        </w:rPr>
        <w:t>August 6, 2026</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Barclays Capital Inc.</w:t>
        <w:br/>
        <w:t>745 Seventh Avenue</w:t>
        <w:br/>
        <w:t>New York, NY 10019</w:t>
      </w:r>
    </w:p>
    <w:p>
      <w:pPr>
        <w:pStyle w:val="TextBody"/>
        <w:bidi w:val="0"/>
        <w:spacing w:before="240" w:after="283"/>
        <w:jc w:val="left"/>
        <w:rPr/>
      </w:pPr>
      <w:r>
        <w:rPr/>
        <w:t> </w:t>
      </w:r>
    </w:p>
    <w:p>
      <w:pPr>
        <w:pStyle w:val="TextBody"/>
        <w:bidi w:val="0"/>
        <w:spacing w:before="240" w:after="283"/>
        <w:jc w:val="center"/>
        <w:rPr>
          <w:rFonts w:ascii="Times New Roman" w:hAnsi="Times New Roman"/>
          <w:sz w:val="20"/>
        </w:rPr>
      </w:pPr>
      <w:r>
        <w:rPr>
          <w:rFonts w:ascii="Times New Roman" w:hAnsi="Times New Roman"/>
          <w:color w:val="000000"/>
          <w:sz w:val="24"/>
        </w:rPr>
        <w:t xml:space="preserve">Re: </w:t>
      </w:r>
      <w:r>
        <w:rPr>
          <w:rFonts w:ascii="Times New Roman" w:hAnsi="Times New Roman"/>
          <w:b/>
          <w:color w:val="000000"/>
          <w:sz w:val="24"/>
        </w:rPr>
        <w:t>Innovex International, Inc.</w:t>
      </w:r>
      <w:r>
        <w:rPr>
          <w:rFonts w:ascii="Times New Roman" w:hAnsi="Times New Roman"/>
          <w:color w:val="000000"/>
          <w:sz w:val="20"/>
        </w:rPr>
        <w:t xml:space="preserve"> </w:t>
      </w:r>
      <w:r>
        <w:rPr>
          <w:rFonts w:ascii="Times New Roman" w:hAnsi="Times New Roman"/>
          <w:color w:val="000000"/>
          <w:sz w:val="24"/>
        </w:rPr>
        <w:t>--- Public Offering</w:t>
      </w:r>
    </w:p>
    <w:p>
      <w:pPr>
        <w:pStyle w:val="TextBody"/>
        <w:bidi w:val="0"/>
        <w:spacing w:before="0" w:after="24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Ladies and Gentlemen: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understands that you (the “Underwriter”) propose to enter into an underwriting agreement (the “Underwriting Agreement”) with Innovex International, Inc., a Delaware corporation (the “Company”), and the Selling Stockholders listed on Schedule 1 to the Underwriting Agreement, providing for the public offering (the “Public Offering”) of shares of common stock, par value $0.01 per share, of the Company (the “Securities”). Capitalized terms used herein and not otherwise defined shall have the meanings set forth in the Underwriting Agreement.</w:t>
      </w:r>
    </w:p>
    <w:p>
      <w:pPr>
        <w:pStyle w:val="TextBody"/>
        <w:bidi w:val="0"/>
        <w:spacing w:before="0" w:after="240"/>
        <w:jc w:val="left"/>
        <w:rPr>
          <w:rFonts w:ascii="Times New Roman" w:hAnsi="Times New Roman"/>
          <w:sz w:val="20"/>
        </w:rPr>
      </w:pPr>
      <w:r>
        <w:rPr>
          <w:rFonts w:ascii="Times New Roman" w:hAnsi="Times New Roman"/>
          <w:color w:val="000000"/>
          <w:sz w:val="24"/>
        </w:rPr>
        <w:t>In consideration of the Underwriter’s agreement to purchase and make the Public Offering of the Securities, and for other good and valuable consideration receipt of which is hereby acknowledged, the undersigned hereby agrees that, without the Underwriter’s prior written consent, the undersigned will not, and will not cause any affiliate to, during the period beginning on the date of this letter agreement (this “Letter Agreement”) and ending at the close of business 45 days after the date of the final prospectus relating to the Public Offering (the “Prospectus”) (such period, the “Restricted Period”), (1) offer, pledge, sell, contract to sell, sell any option or contract to purchase, purchase any option or contract to sell, grant any option, right or warrant to purchase, lend, or otherwise transfer or dispose of, directly or indirectly, any shares of common stock, par value $0.01 per share, of the Company (the “Common Stock”) or any securities convertible into or exercisable or exchangeable for Common Stock (including without limitation, Common Stock or such other securities which may be deemed to be beneficially owned by the undersigned in accordance with the rules and regulations of the Securities and Exchange Commission and securities which may be issued upon exercise of a stock option or warrant) (collectively with the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The undersigned acknowledges and agrees that the foregoing precludes the undersigned from engaging in any hedging or other transactions or arrangements (including, without limitation, any</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sz w:val="20"/>
        </w:rPr>
      </w:pPr>
      <w:r>
        <w:rPr>
          <w:rFonts w:ascii="Times New Roman" w:hAnsi="Times New Roman"/>
          <w:color w:val="000000"/>
          <w:sz w:val="24"/>
        </w:rPr>
        <w:t>short sale or the purchase or sale of, or entry into, any put or call option, or combination thereof, forward, swap or any other derivative transaction or instrument, however described or defined) designed or intended, or which could reasonably be expected to lead to or result in, a sale or disposition or transfer (whether by the undersigned or any other person) of any economic consequences of ownership, in whole or in part, directly or indirectly, of any Lock-Up Securities, whether any such transaction or arrangement (or instrument provided for thereunder) would be settled by delivery of Lock-Up Securities, in cash or otherwise.</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Notwithstanding the foregoing, the undersigned may:</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(a) transfer the undersigned’s Lock-Up Securities:</w:t>
      </w:r>
    </w:p>
    <w:p>
      <w:pPr>
        <w:pStyle w:val="TextBody"/>
        <w:bidi w:val="0"/>
        <w:spacing w:before="0" w:after="240"/>
        <w:jc w:val="left"/>
        <w:rPr>
          <w:rFonts w:ascii="Times New Roman" w:hAnsi="Times New Roman"/>
          <w:sz w:val="20"/>
        </w:rPr>
      </w:pPr>
      <w:r>
        <w:rPr>
          <w:rFonts w:ascii="Times New Roman" w:hAnsi="Times New Roman"/>
          <w:color w:val="000000"/>
          <w:sz w:val="24"/>
        </w:rPr>
        <w:t>(i) as a bona fide gift or gifts or charitable contribution, or for bona fide estate planning purposes,</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 by will or intestacy,</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(iii) to any immediate family member of the undersigned, any trust for the direct or indirect benefit of the undersigned or the immediate family of the undersigned, or if the undersigned is a trust, to a trustor or beneficiary of the trust or to the estate of a beneficiary of such trust (for purposes of this Letter Agreement, “immediate family” shall mean any relationship by blood, current or former marriage, domestic partnership or adoption, not more remote than first cousin),</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(iv) to a corporation, partnership, limited liability company or other entity of which the undersigned and the immediate family of the undersigned are the legal and beneficial owner of all of the outstanding equity securities or similar interests,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 to a nominee or custodian of a person or entity to whom a disposition or transfer would be permissible under clauses (i) through (iv) above,</w:t>
      </w:r>
    </w:p>
    <w:p>
      <w:pPr>
        <w:pStyle w:val="TextBody"/>
        <w:bidi w:val="0"/>
        <w:spacing w:before="0" w:after="240"/>
        <w:jc w:val="left"/>
        <w:rPr>
          <w:rFonts w:ascii="Times New Roman" w:hAnsi="Times New Roman"/>
          <w:sz w:val="20"/>
        </w:rPr>
      </w:pPr>
      <w:r>
        <w:rPr>
          <w:rFonts w:ascii="Times New Roman" w:hAnsi="Times New Roman"/>
          <w:color w:val="000000"/>
          <w:sz w:val="24"/>
        </w:rPr>
        <w:t>(vi) if the undersigned is a corporation, partnership, limited liability company, trust or other business entity, (A) to another corporation, partnership, limited liability company, trust or other business entity that is an affiliate (as defined in Rule 405 promulgated under the Securities Act of 1933, as amended) of the undersigned, or to any investment fund or other entity controlling, controlled by, managing or managed by or under common control with the undersigned or affiliates of the undersigned (including, for the avoidance of doubt, where the undersigned is a partnership, to its general partner or a successor partnership or fund, or any other funds managed by such partnership), or (B) as part of a distribution to members, limited or general partners or shareholders of the undersigned,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 by operation of law, such as pursuant to a qualified domestic order, divorce settlement, divorce decree or separation agreement, or order of regulatory agency,</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(viii) to the Company from an employee of the Company upon death, disability or termination of employment, in each case, of such employee,</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(ix) to the extent such Lock-Up Securities were acquired in open market transactions after the closing date for the Public Offering,</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(x) to the Company in connection with the vesting, settlement, or exercise of restricted stock units, options, warrants or other rights to purchase shares of Common Stock (including, in each case, by way of “net” or “cashless” exercise), including for the payment of exercise price and tax and remittance payments due as a result of the vesting, settlement, or exercise of such restricted stock units, options, warrants or rights, provided that any such shares of Common Stock received upon such exercise, vesting or settlement shall be subject to the terms of this Letter Agreement, and provided further that any such restricted stock units, options, warrants or rights are held by the undersigned pursuant to an agreement or equity awards granted under a stock incentive plan or other equity award plan, each such agreement or plan which is described in the Registration Statement, the Pricing Disclosure Package and the Prospectus, or</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(xi) pursuant to a bona fide third-party tender offer, merger, consolidation or other similar transaction that is approved by the Board of Directors of the Company and made to all holders of the Company’s capital stock involving a Change of Control (as defined below) of the Company (for purposes hereof, “Change of Control” shall mean the transfer (whether by tender offer, merger, consolidation or other similar transaction), in one transaction or a series of related transactions, to a person or group of affiliated persons, of shares of capital stock if, after such transfer, such person or group of affiliated persons would hold at least a majority of the outstanding voting securities of the Company (or the surviving entity));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in the event that such tender offer, merger, consolidation or other similar transaction is not completed, the undersigned’s Lock-Up Securities shall remain subject to the provisions of this Letter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(A) in the case of any transfer or distribution pursuant to clause (a)(i), (ii), (iii), (iv), (v), (vi) and (vii), such transfer shall not involve a disposition for value and each donee, devisee, transferee or distributee shall execute and deliver to the Underwriter a lock-up letter in the form of this Letter Agreement, (B) in the case of any transfer or distribution pursuant to clause (a)(i), (ii), (iii), (iv), (v), (vi), (ix) and (x), no filing by any party (donor, donee, devisee, transferor, transferee, distributer or distributee) under the Securities Exchange Act of 1934, as amended (the “Exchange Act”), or other public announcement shall be required or shall be made voluntarily in connection with such transfer or distribution (other than a filing on a Form 3, 4 or 5 or Schedule 13D, 13F or 13G that is required to be filed during the Restricted Period referred to above) and (C) in the case of any transfer or distribution pursuant to clause (a) (viii) it shall be a condition to such transfer that no public filing, report or announcement shall be voluntarily made and if any filing under Section 16(a) of the Exchange Act, or other public filing, report or announcement reporting a reduction in beneficial ownership of shares of Common Stock in connection with such transfer or distribution shall be legally required during the Restricted</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Period, such filing, report or announcement shall clearly indicate in the footnotes thereto the nature and conditions of such transfer;</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(b) exercise outstanding options, settle restricted stock units or other equity awards or exercise warrants pursuant to plans described in the Registration Statement, the Pricing Disclosure Package and the Prospectus; provided that any Lock-Up Securities received upon such exercise, vesting or settlement shall be subject to the terms of this Letter Agreement;</w:t>
      </w:r>
    </w:p>
    <w:p>
      <w:pPr>
        <w:pStyle w:val="TextBody"/>
        <w:bidi w:val="0"/>
        <w:spacing w:before="0" w:after="240"/>
        <w:jc w:val="left"/>
        <w:rPr>
          <w:rFonts w:ascii="Times New Roman" w:hAnsi="Times New Roman"/>
          <w:sz w:val="20"/>
        </w:rPr>
      </w:pPr>
      <w:r>
        <w:rPr>
          <w:rFonts w:ascii="Times New Roman" w:hAnsi="Times New Roman"/>
          <w:color w:val="000000"/>
          <w:sz w:val="24"/>
        </w:rPr>
        <w:t>(c) convert outstanding preferred stock, warrants to acquire preferred stock or convertible securities into shares of Common Stock or warrants to acquire shares of Common Stock; provided that any such shares of Common Stock or warrants received upon such conversion shall be subject to the terms of this Letter Agreement;</w:t>
      </w:r>
      <w:r>
        <w:rPr>
          <w:rFonts w:ascii="Times New Roman" w:hAnsi="Times New Roman"/>
          <w:color w:val="000000"/>
          <w:sz w:val="20"/>
        </w:rPr>
        <w:t xml:space="preserve"> </w:t>
      </w:r>
    </w:p>
    <w:p>
      <w:pPr>
        <w:pStyle w:val="TextBody"/>
        <w:bidi w:val="0"/>
        <w:spacing w:before="0" w:after="240"/>
        <w:jc w:val="left"/>
        <w:rPr>
          <w:rFonts w:ascii="Times New Roman" w:hAnsi="Times New Roman"/>
          <w:sz w:val="20"/>
        </w:rPr>
      </w:pPr>
      <w:r>
        <w:rPr>
          <w:rFonts w:ascii="Times New Roman" w:hAnsi="Times New Roman"/>
          <w:color w:val="000000"/>
          <w:sz w:val="24"/>
        </w:rPr>
        <w:t xml:space="preserve">(d) establish trading plans pursuant to Rule 10b5-1 under the Exchange Act for the transfer of shares of Lock-Up Securities;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(1) such plans do not provide for the transfer of Lock-Up Securities during the Restricted Period and (2) any public announcement or filing under the Exchange Act made by any person regarding the establishment of such plan during the Restricted Period shall include a statement that the undersigned is not permitted to transfer, sell or otherwise dispose of securities under such plan during the Restricted Period in contravention of this Letter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 transfer or sell Lock-Up Securities pursuant to any trading plan under Rule 10b5-1 under the Exchange Act that has been entered into by the undersigned prior to the date of this Letter Agreement, provided that any filing required to be made under Section 16(a) of the Exchange Act as a result of such transfer or sale shall state that such transfer or sale is pursuant to a trading plan pursuant to Rule 10b5-1; and</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(f) sell the Securities to be sold by the undersigned pursuant to the terms of the Underwriting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In furtherance of the foregoing, the Company, and any duly appointed transfer agent for the registration or transfer of the securities described herein, are hereby authorized to decline to make any transfer of securities if such transfer would constitute a violation or breach of this Letter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hereby represents and warrants that the undersigned has full power and authority to enter into this Letter Agreement. All authority herein conferred or agreed to be conferred and any obligations of the undersigned shall be binding upon the successors, assigns, heirs or personal representatives of the undersigned.</w:t>
      </w:r>
    </w:p>
    <w:p>
      <w:pPr>
        <w:pStyle w:val="TextBody"/>
        <w:bidi w:val="0"/>
        <w:jc w:val="both"/>
        <w:rPr>
          <w:rFonts w:ascii="Times New Roman" w:hAnsi="Times New Roman"/>
          <w:sz w:val="20"/>
        </w:rPr>
      </w:pPr>
      <w:r>
        <w:rPr>
          <w:rFonts w:ascii="Times New Roman" w:hAnsi="Times New Roman"/>
          <w:color w:val="000000"/>
          <w:sz w:val="24"/>
        </w:rPr>
        <w:t>The undersigned acknowledges and agrees that the Underwriter has not provided any recommendation or investment advice nor has the Underwriter solicited any action from the undersigned with respect to the Public Offering of the Securities and the undersigned has consulted their own legal, accounting, financial, regulatory and tax advisors to the extent deemed appropriate. The undersigned further acknowledges and agrees that, although the Underwriter may</w:t>
      </w:r>
      <w:r>
        <w:rPr>
          <w:rFonts w:ascii="Times New Roman" w:hAnsi="Times New Roman"/>
          <w:color w:val="000000"/>
          <w:sz w:val="20"/>
        </w:rPr>
        <w:t xml:space="preserve">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be required or choose to provide certain Regulation Best Interest and Form CRS disclosures to the undersigned in connection with the Public Offering, the Underwriter is not making a recommendation to the undersigned to participate in the Public Offering, enter into this Letter Agreement, or sell any Shares at the price determined in the Public Offering, and nothing set forth in such disclosures is intended to suggest that the Underwriter is making such a recommendation.</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The undersigned understands that, if the Underwriting Agreement does not become effective by 9:30 A.M., New York City time, on August 10, 2026, or if the Underwriting Agreement (other than the provisions thereof which survive termination) shall terminate or be terminated prior to payment for and delivery of the Common Stock to be sold thereunder, or if the Company notifies the Underwriter that the Selling Stockholders do not intend to proceed with the Public Offering or if the Underwriter notifies the Company that the Underwriter does not intend to proceed with the Public Offering, the undersigned shall be released from all obligations under this Letter Agreement. The undersigned understands that the Underwriter is entering into the Underwriting Agreement and proceeding with the Public Offering in reliance upon this Letter Agreement.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Electronic signatures complying with the New York Electronic Signatures and Records Act (N.Y. State Tech. §§ 301-309), as amended from time to time, or other applicable law will be deemed original signatures for purposes of this Letter Agreement. Transmission by telecopy, electronic mail or other transmission method of an executed counterpart of this Letter Agreement will constitute due and sufficient delivery of such counterpart.</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This Letter Agreement and any claim, controversy or dispute arising under or related to this Letter Agreement shall be governed by and construed in accordance with the laws of the State of New York.</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Very truly yours,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[NAME OF STOCKHOLDER]</w:t>
      </w:r>
    </w:p>
    <w:p>
      <w:pPr>
        <w:pStyle w:val="TextBody"/>
        <w:bidi w:val="0"/>
        <w:spacing w:before="240" w:after="480"/>
        <w:jc w:val="left"/>
        <w:rPr>
          <w:rFonts w:ascii="Times New Roman" w:hAnsi="Times New Roman"/>
          <w:color w:val="000000"/>
          <w:sz w:val="24"/>
        </w:rPr>
      </w:pPr>
      <w:r>
        <w:rPr>
          <w:rFonts w:ascii="Times New Roman" w:hAnsi="Times New Roman"/>
          <w:color w:val="000000"/>
          <w:sz w:val="24"/>
        </w:rPr>
        <w:t xml:space="preserve">By: </w:t>
        <w:br/>
        <w:t>Name:</w:t>
        <w:br/>
        <w:t>Title:</w:t>
      </w:r>
    </w:p>
    <w:p>
      <w:pPr>
        <w:pStyle w:val="TextBody"/>
        <w:bidi w:val="0"/>
        <w:jc w:val="left"/>
        <w:rPr/>
      </w:pPr>
      <w:r>
        <w:rPr/>
        <w:t> </w:t>
      </w:r>
    </w:p>
    <w:p>
      <w:pPr>
        <w:pStyle w:val="TextBody"/>
        <w:bidi w:val="0"/>
        <w:spacing w:before="0" w:after="240"/>
        <w:jc w:val="center"/>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color w:val="000000"/>
          <w:sz w:val="22"/>
        </w:rPr>
      </w:pPr>
      <w:r>
        <w:rPr>
          <w:rFonts w:ascii="Times New Roman" w:hAnsi="Times New Roman"/>
          <w:color w:val="000000"/>
          <w:sz w:val="22"/>
        </w:rPr>
        <w:t>-5-</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22728</Words>
  <Characters>121689</Characters>
  <CharactersWithSpaces>144338</CharactersWithSpaces>
  <Paragraphs>609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