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INNOVEX INTERNATIONAL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09/30/2026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BlackRock,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7,386,062.00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7,460,672.00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7,460,672.00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10.7 %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086"/>
        <w:gridCol w:w="8964"/>
        <w:gridCol w:w="155"/>
      </w:tblGrid>
      <w:tr>
        <w:trPr/>
        <w:tc>
          <w:tcPr>
            <w:tcW w:w="1086" w:type="dxa"/>
            <w:tcBorders/>
            <w:vAlign w:val="center"/>
          </w:tcPr>
          <w:p>
            <w:pPr>
              <w:pStyle w:val="TableContents"/>
              <w:bidi w:val="0"/>
              <w:spacing w:before="0" w:after="283"/>
              <w:jc w:val="left"/>
              <w:rPr/>
            </w:pPr>
            <w:r>
              <w:rPr/>
              <w:t>Item 1.</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issuer: </w:t>
            </w:r>
          </w:p>
          <w:p>
            <w:pPr>
              <w:pStyle w:val="TableContents"/>
              <w:bidi w:val="0"/>
              <w:spacing w:before="0" w:after="0"/>
              <w:jc w:val="left"/>
              <w:rPr/>
            </w:pPr>
            <w:r>
              <w:rPr/>
              <w:t>INNOVEX INTERNATIONAL INC</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19120 KENSWICK DRIVE HUMBLE TX 77338</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2.</w:t>
            </w:r>
          </w:p>
        </w:tc>
        <w:tc>
          <w:tcPr>
            <w:tcW w:w="8964"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Name of person filing: </w:t>
            </w:r>
          </w:p>
          <w:p>
            <w:pPr>
              <w:pStyle w:val="TableContents"/>
              <w:bidi w:val="0"/>
              <w:spacing w:before="0" w:after="0"/>
              <w:jc w:val="left"/>
              <w:rPr/>
            </w:pPr>
            <w:r>
              <w:rPr/>
              <w:t>BlackRock, Inc. In accordance with SEC Release No. 34-39538 (January 12, 1998), this Schedule 13G reflects the securities beneficially owned, or deemed to be beneficially owned, by certain business units (collectively, the "Reporting Business Units") of BlackRock, Inc. and its subsidiaries and affiliates. It does not include securities, if any, beneficially owned by other business units whose beneficial ownership of securities are disaggregated from that of the Reporting Business Units in accordance with such release.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BlackRock, Inc., 50 Hudson Yards New York, NY 10001</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jc w:val="left"/>
              <w:rPr/>
            </w:pPr>
            <w:r>
              <w:rPr/>
              <w:t xml:space="preserve">Citizenship: </w:t>
            </w:r>
          </w:p>
          <w:p>
            <w:pPr>
              <w:pStyle w:val="TableContents"/>
              <w:bidi w:val="0"/>
              <w:spacing w:before="0" w:after="0"/>
              <w:jc w:val="left"/>
              <w:rPr/>
            </w:pPr>
            <w:r>
              <w:rPr/>
              <w:t>See Item 4 of Cover Page</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3.</w:t>
            </w:r>
          </w:p>
        </w:tc>
        <w:tc>
          <w:tcPr>
            <w:tcW w:w="8964"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(d)</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(e)</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(f)</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(g)</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(h)</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(j)</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(k)</w:t>
            </w:r>
          </w:p>
        </w:tc>
        <w:tc>
          <w:tcPr>
            <w:tcW w:w="8964"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9119" w:type="dxa"/>
            <w:gridSpan w:val="2"/>
            <w:tcBorders/>
            <w:vAlign w:val="center"/>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4.</w:t>
            </w:r>
          </w:p>
        </w:tc>
        <w:tc>
          <w:tcPr>
            <w:tcW w:w="8964"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(a)</w:t>
            </w:r>
          </w:p>
        </w:tc>
        <w:tc>
          <w:tcPr>
            <w:tcW w:w="8964"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7460672</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(b)</w:t>
            </w:r>
          </w:p>
        </w:tc>
        <w:tc>
          <w:tcPr>
            <w:tcW w:w="8964"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10.7  %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(c)</w:t>
            </w:r>
          </w:p>
        </w:tc>
        <w:tc>
          <w:tcPr>
            <w:tcW w:w="8964"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7386062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7460672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5.</w:t>
            </w:r>
          </w:p>
        </w:tc>
        <w:tc>
          <w:tcPr>
            <w:tcW w:w="8964"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6.</w:t>
            </w:r>
          </w:p>
        </w:tc>
        <w:tc>
          <w:tcPr>
            <w:tcW w:w="8964"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Various persons have the right to receive or the power to direct the receipt of dividends from, or the proceeds from the sale of the common stock of INNOVEX INTERNATIONAL INC. No one person's interest in the common stock of INNOVEX INTERNATIONAL INC is more than five percent of the total outstanding common shares.</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7.</w:t>
            </w:r>
          </w:p>
        </w:tc>
        <w:tc>
          <w:tcPr>
            <w:tcW w:w="8964"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8.</w:t>
            </w:r>
          </w:p>
        </w:tc>
        <w:tc>
          <w:tcPr>
            <w:tcW w:w="8964"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Item 9.</w:t>
            </w:r>
          </w:p>
        </w:tc>
        <w:tc>
          <w:tcPr>
            <w:tcW w:w="8964"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86" w:type="dxa"/>
            <w:tcBorders/>
            <w:vAlign w:val="center"/>
          </w:tcPr>
          <w:p>
            <w:pPr>
              <w:pStyle w:val="TableContents"/>
              <w:bidi w:val="0"/>
              <w:spacing w:before="0" w:after="283"/>
              <w:jc w:val="left"/>
              <w:rPr/>
            </w:pPr>
            <w:r>
              <w:rPr/>
              <w:t> </w:t>
            </w:r>
          </w:p>
        </w:tc>
        <w:tc>
          <w:tcPr>
            <w:tcW w:w="8964"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3640" w:type="dxa"/>
        <w:jc w:val="left"/>
        <w:tblInd w:w="0" w:type="dxa"/>
        <w:tblLayout w:type="fixed"/>
        <w:tblCellMar>
          <w:top w:w="28" w:type="dxa"/>
          <w:left w:w="28" w:type="dxa"/>
          <w:bottom w:w="28" w:type="dxa"/>
          <w:right w:w="28" w:type="dxa"/>
        </w:tblCellMar>
      </w:tblPr>
      <w:tblGrid>
        <w:gridCol w:w="1820"/>
        <w:gridCol w:w="1820"/>
      </w:tblGrid>
      <w:tr>
        <w:trPr/>
        <w:tc>
          <w:tcPr>
            <w:tcW w:w="1820" w:type="dxa"/>
            <w:tcBorders/>
            <w:vAlign w:val="center"/>
          </w:tcPr>
          <w:p>
            <w:pPr>
              <w:pStyle w:val="TableContents"/>
              <w:bidi w:val="0"/>
              <w:spacing w:before="0" w:after="0"/>
              <w:jc w:val="left"/>
              <w:rPr/>
            </w:pPr>
            <w:r>
              <w:rPr/>
              <w:t> </w:t>
            </w:r>
          </w:p>
          <w:tbl>
            <w:tblPr>
              <w:tblW w:w="1711" w:type="dxa"/>
              <w:jc w:val="left"/>
              <w:tblInd w:w="0" w:type="dxa"/>
              <w:tblLayout w:type="fixed"/>
              <w:tblCellMar>
                <w:top w:w="28" w:type="dxa"/>
                <w:left w:w="28" w:type="dxa"/>
                <w:bottom w:w="28" w:type="dxa"/>
                <w:right w:w="28" w:type="dxa"/>
              </w:tblCellMar>
            </w:tblPr>
            <w:tblGrid>
              <w:gridCol w:w="1711"/>
            </w:tblGrid>
            <w:tr>
              <w:trPr/>
              <w:tc>
                <w:tcPr>
                  <w:tcW w:w="1711" w:type="dxa"/>
                  <w:tcBorders/>
                  <w:vAlign w:val="center"/>
                </w:tcPr>
                <w:p>
                  <w:pPr>
                    <w:pStyle w:val="TableContents"/>
                    <w:bidi w:val="0"/>
                    <w:spacing w:before="0" w:after="0"/>
                    <w:jc w:val="left"/>
                    <w:rPr/>
                  </w:pPr>
                  <w:r>
                    <w:rPr/>
                    <w:t>BlackRock, Inc.</w:t>
                  </w:r>
                </w:p>
              </w:tc>
            </w:tr>
          </w:tbl>
          <w:p>
            <w:pPr>
              <w:pStyle w:val="TableContents"/>
              <w:bidi w:val="0"/>
              <w:spacing w:before="0" w:after="283"/>
              <w:jc w:val="left"/>
              <w:rPr/>
            </w:pPr>
            <w:r>
              <w:rPr/>
            </w:r>
          </w:p>
        </w:tc>
        <w:tc>
          <w:tcPr>
            <w:tcW w:w="182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1"/>
        <w:gridCol w:w="4334"/>
      </w:tblGrid>
      <w:tr>
        <w:trPr/>
        <w:tc>
          <w:tcPr>
            <w:tcW w:w="5871"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0"/>
              <w:gridCol w:w="9035"/>
            </w:tblGrid>
            <w:tr>
              <w:trPr/>
              <w:tc>
                <w:tcPr>
                  <w:tcW w:w="1170" w:type="dxa"/>
                  <w:tcBorders/>
                  <w:vAlign w:val="center"/>
                </w:tcPr>
                <w:p>
                  <w:pPr>
                    <w:pStyle w:val="TableContents"/>
                    <w:bidi w:val="0"/>
                    <w:spacing w:before="0" w:after="283"/>
                    <w:jc w:val="left"/>
                    <w:rPr/>
                  </w:pPr>
                  <w:r>
                    <w:rPr/>
                    <w:t>Signature:</w:t>
                  </w:r>
                </w:p>
              </w:tc>
              <w:tc>
                <w:tcPr>
                  <w:tcW w:w="9035" w:type="dxa"/>
                  <w:tcBorders/>
                  <w:vAlign w:val="center"/>
                </w:tcPr>
                <w:p>
                  <w:pPr>
                    <w:pStyle w:val="TableContents"/>
                    <w:bidi w:val="0"/>
                    <w:spacing w:before="0" w:after="283"/>
                    <w:jc w:val="left"/>
                    <w:rPr/>
                  </w:pPr>
                  <w:r>
                    <w:rPr/>
                    <w:t>Spencer Fleming</w:t>
                  </w:r>
                </w:p>
              </w:tc>
            </w:tr>
            <w:tr>
              <w:trPr/>
              <w:tc>
                <w:tcPr>
                  <w:tcW w:w="1170" w:type="dxa"/>
                  <w:tcBorders/>
                  <w:vAlign w:val="center"/>
                </w:tcPr>
                <w:p>
                  <w:pPr>
                    <w:pStyle w:val="TableContents"/>
                    <w:bidi w:val="0"/>
                    <w:spacing w:before="0" w:after="283"/>
                    <w:jc w:val="left"/>
                    <w:rPr/>
                  </w:pPr>
                  <w:r>
                    <w:rPr/>
                    <w:t>Name/Title:</w:t>
                  </w:r>
                </w:p>
              </w:tc>
              <w:tc>
                <w:tcPr>
                  <w:tcW w:w="9035" w:type="dxa"/>
                  <w:tcBorders/>
                  <w:vAlign w:val="center"/>
                </w:tcPr>
                <w:p>
                  <w:pPr>
                    <w:pStyle w:val="TableContents"/>
                    <w:bidi w:val="0"/>
                    <w:spacing w:before="0" w:after="283"/>
                    <w:jc w:val="left"/>
                    <w:rPr/>
                  </w:pPr>
                  <w:r>
                    <w:rPr/>
                    <w:t>Managing Director</w:t>
                  </w:r>
                </w:p>
              </w:tc>
            </w:tr>
            <w:tr>
              <w:trPr/>
              <w:tc>
                <w:tcPr>
                  <w:tcW w:w="1170" w:type="dxa"/>
                  <w:tcBorders/>
                  <w:vAlign w:val="center"/>
                </w:tcPr>
                <w:p>
                  <w:pPr>
                    <w:pStyle w:val="TableContents"/>
                    <w:bidi w:val="0"/>
                    <w:spacing w:before="0" w:after="283"/>
                    <w:jc w:val="left"/>
                    <w:rPr/>
                  </w:pPr>
                  <w:r>
                    <w:rPr/>
                    <w:t>Date:</w:t>
                  </w:r>
                </w:p>
              </w:tc>
              <w:tc>
                <w:tcPr>
                  <w:tcW w:w="9035" w:type="dxa"/>
                  <w:tcBorders/>
                  <w:vAlign w:val="center"/>
                </w:tcPr>
                <w:p>
                  <w:pPr>
                    <w:pStyle w:val="TableContents"/>
                    <w:bidi w:val="0"/>
                    <w:spacing w:before="0" w:after="283"/>
                    <w:jc w:val="left"/>
                    <w:rPr/>
                  </w:pPr>
                  <w:r>
                    <w:rPr/>
                    <w:t>10/05/2026</w:t>
                  </w:r>
                </w:p>
              </w:tc>
            </w:tr>
          </w:tbl>
          <w:p>
            <w:pPr>
              <w:pStyle w:val="TableContents"/>
              <w:bidi w:val="0"/>
              <w:spacing w:before="0" w:after="283"/>
              <w:jc w:val="left"/>
              <w:rPr/>
            </w:pPr>
            <w:r>
              <w:rPr/>
            </w:r>
          </w:p>
        </w:tc>
        <w:tc>
          <w:tcPr>
            <w:tcW w:w="4334" w:type="dxa"/>
            <w:tcBorders/>
            <w:vAlign w:val="center"/>
          </w:tcPr>
          <w:p>
            <w:pPr>
              <w:pStyle w:val="TableContents"/>
              <w:bidi w:val="0"/>
              <w:spacing w:before="0" w:after="283"/>
              <w:jc w:val="left"/>
              <w:rPr>
                <w:sz w:val="4"/>
                <w:szCs w:val="4"/>
              </w:rPr>
            </w:pPr>
            <w:r>
              <w:rPr>
                <w:sz w:val="4"/>
                <w:szCs w:val="4"/>
              </w:rPr>
            </w:r>
          </w:p>
        </w:tc>
      </w:tr>
    </w:tbl>
    <w:tbl>
      <w:tblPr>
        <w:tblW w:w="4816" w:type="dxa"/>
        <w:jc w:val="left"/>
        <w:tblInd w:w="0" w:type="dxa"/>
        <w:tblLayout w:type="fixed"/>
        <w:tblCellMar>
          <w:top w:w="28" w:type="dxa"/>
          <w:left w:w="28" w:type="dxa"/>
          <w:bottom w:w="28" w:type="dxa"/>
          <w:right w:w="28" w:type="dxa"/>
        </w:tblCellMar>
      </w:tblPr>
      <w:tblGrid>
        <w:gridCol w:w="4816"/>
      </w:tblGrid>
      <w:tr>
        <w:trPr/>
        <w:tc>
          <w:tcPr>
            <w:tcW w:w="4816" w:type="dxa"/>
            <w:tcBorders/>
            <w:vAlign w:val="center"/>
          </w:tcPr>
          <w:p>
            <w:pPr>
              <w:pStyle w:val="TableContents"/>
              <w:bidi w:val="0"/>
              <w:spacing w:before="0" w:after="283"/>
              <w:jc w:val="center"/>
              <w:rPr>
                <w:b/>
              </w:rPr>
            </w:pPr>
            <w:r>
              <w:rPr>
                <w:b/>
              </w:rPr>
              <w:t xml:space="preserve">Exhibit Information </w:t>
            </w:r>
          </w:p>
        </w:tc>
      </w:tr>
      <w:tr>
        <w:trPr/>
        <w:tc>
          <w:tcPr>
            <w:tcW w:w="4816" w:type="dxa"/>
            <w:tcBorders/>
            <w:vAlign w:val="center"/>
          </w:tcPr>
          <w:p>
            <w:pPr>
              <w:pStyle w:val="TableContents"/>
              <w:bidi w:val="0"/>
              <w:spacing w:before="0" w:after="283"/>
              <w:jc w:val="left"/>
              <w:rPr/>
            </w:pPr>
            <w:r>
              <w:rPr/>
              <w:t>Exhibit 24: Power of Attorney Exhibit 99: Item 7</w:t>
            </w:r>
          </w:p>
        </w:tc>
      </w:tr>
    </w:tbl>
    <w:p>
      <w:pPr>
        <w:pStyle w:val="PreformattedText"/>
        <w:bidi w:val="0"/>
        <w:jc w:val="left"/>
        <w:rPr/>
      </w:pPr>
      <w:bookmarkStart w:id="16" w:name="PowerOfAttorney.txt"/>
      <w:bookmarkStart w:id="17" w:name="ksPowerOfAttorney"/>
      <w:bookmarkEnd w:id="16"/>
      <w:bookmarkEnd w:id="17"/>
      <w:r>
        <w:rPr/>
        <w:t>POWER OF ATTORNEY</w:t>
      </w:r>
      <w:r>
        <w:br w:type="page"/>
      </w:r>
    </w:p>
    <w:p>
      <w:pPr>
        <w:pStyle w:val="PreformattedText"/>
        <w:bidi w:val="0"/>
        <w:spacing w:before="0" w:after="0"/>
        <w:jc w:val="left"/>
        <w:rPr/>
      </w:pPr>
      <w:r>
        <w:rPr/>
      </w:r>
    </w:p>
    <w:p>
      <w:pPr>
        <w:pStyle w:val="PreformattedText"/>
        <w:bidi w:val="0"/>
        <w:spacing w:before="0" w:after="0"/>
        <w:jc w:val="left"/>
        <w:rPr/>
      </w:pPr>
      <w:r>
        <w:rPr/>
        <w:t>The undersigned, BlackRock, Inc., a corporation duly organized under the</w:t>
      </w:r>
    </w:p>
    <w:p>
      <w:pPr>
        <w:pStyle w:val="PreformattedText"/>
        <w:bidi w:val="0"/>
        <w:spacing w:before="0" w:after="0"/>
        <w:jc w:val="left"/>
        <w:rPr/>
      </w:pPr>
      <w:r>
        <w:rPr/>
        <w:t>laws of the State of Delaware, United States (the "Company"), does hereby</w:t>
      </w:r>
    </w:p>
    <w:p>
      <w:pPr>
        <w:pStyle w:val="PreformattedText"/>
        <w:bidi w:val="0"/>
        <w:spacing w:before="0" w:after="0"/>
        <w:jc w:val="left"/>
        <w:rPr/>
      </w:pPr>
      <w:r>
        <w:rPr/>
        <w:t>make, constitute and appoint each of Eric Andruczyk, Richard Cundiff,</w:t>
      </w:r>
    </w:p>
    <w:p>
      <w:pPr>
        <w:pStyle w:val="PreformattedText"/>
        <w:bidi w:val="0"/>
        <w:spacing w:before="0" w:after="0"/>
        <w:jc w:val="left"/>
        <w:rPr/>
      </w:pPr>
      <w:r>
        <w:rPr/>
        <w:t>R. Andrew Dickson, III, Spencer Fleming, Laura Hildner, David Maryles,</w:t>
      </w:r>
    </w:p>
    <w:p>
      <w:pPr>
        <w:pStyle w:val="PreformattedText"/>
        <w:bidi w:val="0"/>
        <w:spacing w:before="0" w:after="0"/>
        <w:jc w:val="left"/>
        <w:rPr/>
      </w:pPr>
      <w:r>
        <w:rPr/>
        <w:t>Christopher Meade, Charles Park, James Raby, Daniel Riemer, David</w:t>
      </w:r>
    </w:p>
    <w:p>
      <w:pPr>
        <w:pStyle w:val="PreformattedText"/>
        <w:bidi w:val="0"/>
        <w:spacing w:before="0" w:after="0"/>
        <w:jc w:val="left"/>
        <w:rPr/>
      </w:pPr>
      <w:r>
        <w:rPr/>
        <w:t>Rothenberg and Brenda Schulz, acting severally, as its true and lawful</w:t>
      </w:r>
    </w:p>
    <w:p>
      <w:pPr>
        <w:pStyle w:val="PreformattedText"/>
        <w:bidi w:val="0"/>
        <w:spacing w:before="0" w:after="0"/>
        <w:jc w:val="left"/>
        <w:rPr/>
      </w:pPr>
      <w:r>
        <w:rPr/>
        <w:t>attorneys-in-fact, for the purpose of, from time to time, executing, in its</w:t>
      </w:r>
    </w:p>
    <w:p>
      <w:pPr>
        <w:pStyle w:val="PreformattedText"/>
        <w:bidi w:val="0"/>
        <w:spacing w:before="0" w:after="0"/>
        <w:jc w:val="left"/>
        <w:rPr/>
      </w:pPr>
      <w:r>
        <w:rPr/>
        <w:t>name and on its behalf and on behalf of its direct and indirect</w:t>
      </w:r>
    </w:p>
    <w:p>
      <w:pPr>
        <w:pStyle w:val="PreformattedText"/>
        <w:bidi w:val="0"/>
        <w:spacing w:before="0" w:after="0"/>
        <w:jc w:val="left"/>
        <w:rPr/>
      </w:pPr>
      <w:r>
        <w:rPr/>
        <w:t>subsidiaries and affiliates, any and all documents, certificates,</w:t>
      </w:r>
    </w:p>
    <w:p>
      <w:pPr>
        <w:pStyle w:val="PreformattedText"/>
        <w:bidi w:val="0"/>
        <w:spacing w:before="0" w:after="0"/>
        <w:jc w:val="left"/>
        <w:rPr/>
      </w:pPr>
      <w:r>
        <w:rPr/>
        <w:t>instruments, statements, filings, agreements and amendments</w:t>
      </w:r>
    </w:p>
    <w:p>
      <w:pPr>
        <w:pStyle w:val="PreformattedText"/>
        <w:bidi w:val="0"/>
        <w:spacing w:before="0" w:after="0"/>
        <w:jc w:val="left"/>
        <w:rPr/>
      </w:pPr>
      <w:r>
        <w:rPr/>
        <w:t>(collectively, "documents") determined by such person to be necessary or</w:t>
      </w:r>
    </w:p>
    <w:p>
      <w:pPr>
        <w:pStyle w:val="PreformattedText"/>
        <w:bidi w:val="0"/>
        <w:spacing w:before="0" w:after="0"/>
        <w:jc w:val="left"/>
        <w:rPr/>
      </w:pPr>
      <w:r>
        <w:rPr/>
        <w:t>appropriate to comply with ownership or control-person reporting</w:t>
      </w:r>
    </w:p>
    <w:p>
      <w:pPr>
        <w:pStyle w:val="PreformattedText"/>
        <w:bidi w:val="0"/>
        <w:spacing w:before="0" w:after="0"/>
        <w:jc w:val="left"/>
        <w:rPr/>
      </w:pPr>
      <w:r>
        <w:rPr/>
        <w:t>requirements imposed by any United States or non-United States governmental</w:t>
      </w:r>
    </w:p>
    <w:p>
      <w:pPr>
        <w:pStyle w:val="PreformattedText"/>
        <w:bidi w:val="0"/>
        <w:spacing w:before="0" w:after="0"/>
        <w:jc w:val="left"/>
        <w:rPr/>
      </w:pPr>
      <w:r>
        <w:rPr/>
        <w:t>or regulatory authority, including, without limitation, Schedules 13D and</w:t>
      </w:r>
    </w:p>
    <w:p>
      <w:pPr>
        <w:pStyle w:val="PreformattedText"/>
        <w:bidi w:val="0"/>
        <w:spacing w:before="0" w:after="0"/>
        <w:jc w:val="left"/>
        <w:rPr/>
      </w:pPr>
      <w:r>
        <w:rPr/>
        <w:t>13G and Forms 3, 4, 5, 13F, 13H, SHO and N-PX and any amendments to any of</w:t>
      </w:r>
    </w:p>
    <w:p>
      <w:pPr>
        <w:pStyle w:val="PreformattedText"/>
        <w:bidi w:val="0"/>
        <w:spacing w:before="0" w:after="0"/>
        <w:jc w:val="left"/>
        <w:rPr/>
      </w:pPr>
      <w:r>
        <w:rPr/>
        <w:t>the foregoing as may be required to be filed with the Securities and</w:t>
      </w:r>
    </w:p>
    <w:p>
      <w:pPr>
        <w:pStyle w:val="PreformattedText"/>
        <w:bidi w:val="0"/>
        <w:spacing w:before="0" w:after="0"/>
        <w:jc w:val="left"/>
        <w:rPr/>
      </w:pPr>
      <w:r>
        <w:rPr/>
        <w:t>Exchange Commission, and delivering, furnishing or filing any such</w:t>
      </w:r>
    </w:p>
    <w:p>
      <w:pPr>
        <w:pStyle w:val="PreformattedText"/>
        <w:bidi w:val="0"/>
        <w:spacing w:before="0" w:after="0"/>
        <w:jc w:val="left"/>
        <w:rPr/>
      </w:pPr>
      <w:r>
        <w:rPr/>
        <w:t>documents with the appropriate governmental or regulatory authority or</w:t>
      </w:r>
    </w:p>
    <w:p>
      <w:pPr>
        <w:pStyle w:val="PreformattedText"/>
        <w:bidi w:val="0"/>
        <w:spacing w:before="0" w:after="0"/>
        <w:jc w:val="left"/>
        <w:rPr/>
      </w:pPr>
      <w:r>
        <w:rPr/>
        <w:t>other person, and giving and granting to each such attorney-in-fact full</w:t>
      </w:r>
    </w:p>
    <w:p>
      <w:pPr>
        <w:pStyle w:val="PreformattedText"/>
        <w:bidi w:val="0"/>
        <w:spacing w:before="0" w:after="0"/>
        <w:jc w:val="left"/>
        <w:rPr/>
      </w:pPr>
      <w:r>
        <w:rPr/>
        <w:t>power and authority to do and perform any and every act and thing</w:t>
      </w:r>
    </w:p>
    <w:p>
      <w:pPr>
        <w:pStyle w:val="PreformattedText"/>
        <w:bidi w:val="0"/>
        <w:spacing w:before="0" w:after="0"/>
        <w:jc w:val="left"/>
        <w:rPr/>
      </w:pPr>
      <w:r>
        <w:rPr/>
        <w:t>whatsoever requisite, necessary or proper to be done in the exercise of any</w:t>
      </w:r>
    </w:p>
    <w:p>
      <w:pPr>
        <w:pStyle w:val="PreformattedText"/>
        <w:bidi w:val="0"/>
        <w:spacing w:before="0" w:after="0"/>
        <w:jc w:val="left"/>
        <w:rPr/>
      </w:pPr>
      <w:r>
        <w:rPr/>
        <w:t>of the rights and powers herein granted, as fully and to all intents and</w:t>
      </w:r>
    </w:p>
    <w:p>
      <w:pPr>
        <w:pStyle w:val="PreformattedText"/>
        <w:bidi w:val="0"/>
        <w:spacing w:before="0" w:after="0"/>
        <w:jc w:val="left"/>
        <w:rPr/>
      </w:pPr>
      <w:r>
        <w:rPr/>
        <w:t>purposes as the Company and/or its direct and indirect subsidiaries, as</w:t>
      </w:r>
    </w:p>
    <w:p>
      <w:pPr>
        <w:pStyle w:val="PreformattedText"/>
        <w:bidi w:val="0"/>
        <w:spacing w:before="0" w:after="0"/>
        <w:jc w:val="left"/>
        <w:rPr/>
      </w:pPr>
      <w:r>
        <w:rPr/>
        <w:t>applicable, might or could do if personally present by one of its</w:t>
      </w:r>
    </w:p>
    <w:p>
      <w:pPr>
        <w:pStyle w:val="PreformattedText"/>
        <w:bidi w:val="0"/>
        <w:spacing w:before="0" w:after="0"/>
        <w:jc w:val="left"/>
        <w:rPr/>
      </w:pPr>
      <w:r>
        <w:rPr/>
        <w:t>authorized signatories, hereby ratifying and confirming all that said</w:t>
      </w:r>
    </w:p>
    <w:p>
      <w:pPr>
        <w:pStyle w:val="PreformattedText"/>
        <w:bidi w:val="0"/>
        <w:spacing w:before="0" w:after="0"/>
        <w:jc w:val="left"/>
        <w:rPr/>
      </w:pPr>
      <w:r>
        <w:rPr/>
        <w:t>attorney-in-fact shall lawfully do or cause to be done by virtue hereof.</w:t>
      </w:r>
    </w:p>
    <w:p>
      <w:pPr>
        <w:pStyle w:val="PreformattedText"/>
        <w:bidi w:val="0"/>
        <w:spacing w:before="0" w:after="0"/>
        <w:jc w:val="left"/>
        <w:rPr/>
      </w:pPr>
      <w:r>
        <w:rPr/>
        <w:t>Any such determination by an attorney-in-fact named herein shall be</w:t>
      </w:r>
    </w:p>
    <w:p>
      <w:pPr>
        <w:pStyle w:val="PreformattedText"/>
        <w:bidi w:val="0"/>
        <w:spacing w:before="0" w:after="0"/>
        <w:jc w:val="left"/>
        <w:rPr/>
      </w:pPr>
      <w:r>
        <w:rPr/>
        <w:t>conclusively evidenced by such person's execution, delivery, furnishing or</w:t>
      </w:r>
    </w:p>
    <w:p>
      <w:pPr>
        <w:pStyle w:val="PreformattedText"/>
        <w:bidi w:val="0"/>
        <w:spacing w:before="0" w:after="0"/>
        <w:jc w:val="left"/>
        <w:rPr/>
      </w:pPr>
      <w:r>
        <w:rPr/>
        <w:t>filing of the applicable document.</w:t>
      </w:r>
    </w:p>
    <w:p>
      <w:pPr>
        <w:pStyle w:val="PreformattedText"/>
        <w:bidi w:val="0"/>
        <w:spacing w:before="0" w:after="0"/>
        <w:jc w:val="left"/>
        <w:rPr/>
      </w:pPr>
      <w:r>
        <w:rPr/>
      </w:r>
    </w:p>
    <w:p>
      <w:pPr>
        <w:pStyle w:val="PreformattedText"/>
        <w:bidi w:val="0"/>
        <w:spacing w:before="0" w:after="0"/>
        <w:jc w:val="left"/>
        <w:rPr/>
      </w:pPr>
      <w:r>
        <w:rPr/>
        <w:t>This power of attorney shall expressly revoke the power of attorney dated</w:t>
      </w:r>
    </w:p>
    <w:p>
      <w:pPr>
        <w:pStyle w:val="PreformattedText"/>
        <w:bidi w:val="0"/>
        <w:spacing w:before="0" w:after="0"/>
        <w:jc w:val="left"/>
        <w:rPr/>
      </w:pPr>
      <w:r>
        <w:rPr/>
        <w:t>30th day of April, 2023 in respect of the subject matter hereof, shall</w:t>
      </w:r>
    </w:p>
    <w:p>
      <w:pPr>
        <w:pStyle w:val="PreformattedText"/>
        <w:bidi w:val="0"/>
        <w:spacing w:before="0" w:after="0"/>
        <w:jc w:val="left"/>
        <w:rPr/>
      </w:pPr>
      <w:r>
        <w:rPr/>
        <w:t>be valid from the date hereof and shall remain in full force and effect</w:t>
      </w:r>
    </w:p>
    <w:p>
      <w:pPr>
        <w:pStyle w:val="PreformattedText"/>
        <w:bidi w:val="0"/>
        <w:spacing w:before="0" w:after="0"/>
        <w:jc w:val="left"/>
        <w:rPr/>
      </w:pPr>
      <w:r>
        <w:rPr/>
        <w:t>until either revoked in writing by the Company, or, in respect of any</w:t>
      </w:r>
    </w:p>
    <w:p>
      <w:pPr>
        <w:pStyle w:val="PreformattedText"/>
        <w:bidi w:val="0"/>
        <w:spacing w:before="0" w:after="0"/>
        <w:jc w:val="left"/>
        <w:rPr/>
      </w:pPr>
      <w:r>
        <w:rPr/>
        <w:t>attorney-in-fact named herein, until such person ceases to be an employee</w:t>
      </w:r>
    </w:p>
    <w:p>
      <w:pPr>
        <w:pStyle w:val="PreformattedText"/>
        <w:bidi w:val="0"/>
        <w:spacing w:before="0" w:after="0"/>
        <w:jc w:val="left"/>
        <w:rPr/>
      </w:pPr>
      <w:r>
        <w:rPr/>
        <w:t>of the Company or one of its affiliates.</w:t>
      </w:r>
    </w:p>
    <w:p>
      <w:pPr>
        <w:pStyle w:val="PreformattedText"/>
        <w:bidi w:val="0"/>
        <w:spacing w:before="0" w:after="0"/>
        <w:jc w:val="left"/>
        <w:rPr/>
      </w:pPr>
      <w:r>
        <w:rPr/>
      </w:r>
    </w:p>
    <w:p>
      <w:pPr>
        <w:pStyle w:val="PreformattedText"/>
        <w:bidi w:val="0"/>
        <w:spacing w:before="0" w:after="0"/>
        <w:jc w:val="left"/>
        <w:rPr/>
      </w:pPr>
      <w:r>
        <w:rPr/>
        <w:t>IN WITNESS WHEREOF, the undersigned has caused this power of attorney to be</w:t>
      </w:r>
    </w:p>
    <w:p>
      <w:pPr>
        <w:pStyle w:val="PreformattedText"/>
        <w:bidi w:val="0"/>
        <w:spacing w:before="0" w:after="0"/>
        <w:jc w:val="left"/>
        <w:rPr/>
      </w:pPr>
      <w:r>
        <w:rPr/>
        <w:t>executed as of this 21st day of January, 2025.</w:t>
      </w:r>
    </w:p>
    <w:p>
      <w:pPr>
        <w:pStyle w:val="PreformattedText"/>
        <w:bidi w:val="0"/>
        <w:spacing w:before="0" w:after="0"/>
        <w:jc w:val="left"/>
        <w:rPr/>
      </w:pPr>
      <w:r>
        <w:rPr/>
      </w:r>
    </w:p>
    <w:p>
      <w:pPr>
        <w:pStyle w:val="PreformattedText"/>
        <w:bidi w:val="0"/>
        <w:spacing w:before="0" w:after="0"/>
        <w:jc w:val="left"/>
        <w:rPr/>
      </w:pPr>
      <w:r>
        <w:rPr/>
        <w:t>BLACKROCK, INC.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R. Andrew Dickson, III</w:t>
      </w:r>
    </w:p>
    <w:p>
      <w:pPr>
        <w:pStyle w:val="PreformattedText"/>
        <w:bidi w:val="0"/>
        <w:spacing w:before="0" w:after="0"/>
        <w:jc w:val="left"/>
        <w:rPr/>
      </w:pPr>
      <w:r>
        <w:rPr/>
        <w:t>Name:  R. Andrew Dickson, III</w:t>
      </w:r>
    </w:p>
    <w:p>
      <w:pPr>
        <w:pStyle w:val="PreformattedText"/>
        <w:bidi w:val="0"/>
        <w:spacing w:before="0" w:after="283"/>
        <w:jc w:val="left"/>
        <w:rPr/>
      </w:pPr>
      <w:r>
        <w:rPr/>
        <w:t>Title: Corporate Secretary</w:t>
      </w:r>
    </w:p>
    <w:p>
      <w:pPr>
        <w:pStyle w:val="PreformattedText"/>
        <w:bidi w:val="0"/>
        <w:jc w:val="left"/>
        <w:rPr/>
      </w:pPr>
      <w:bookmarkStart w:id="18" w:name="Item_7.txt"/>
      <w:bookmarkStart w:id="19" w:name="ksItem_7"/>
      <w:bookmarkEnd w:id="18"/>
      <w:bookmarkEnd w:id="19"/>
      <w:r>
        <w:rPr/>
        <w:t>Item 7</w:t>
      </w:r>
      <w:r>
        <w:br w:type="page"/>
      </w:r>
    </w:p>
    <w:p>
      <w:pPr>
        <w:pStyle w:val="PreformattedText"/>
        <w:bidi w:val="0"/>
        <w:spacing w:before="0" w:after="0"/>
        <w:jc w:val="left"/>
        <w:rPr/>
      </w:pPr>
      <w:r>
        <w:rPr/>
        <w:t xml:space="preserve"> </w:t>
      </w:r>
      <w:r>
        <w:rPr/>
        <w:t>BlackRock Advisors, LLC</w:t>
      </w:r>
    </w:p>
    <w:p>
      <w:pPr>
        <w:pStyle w:val="PreformattedText"/>
        <w:bidi w:val="0"/>
        <w:spacing w:before="0" w:after="0"/>
        <w:jc w:val="left"/>
        <w:rPr/>
      </w:pPr>
      <w:r>
        <w:rPr/>
        <w:t xml:space="preserve"> </w:t>
      </w:r>
      <w:r>
        <w:rPr/>
        <w:t>BlackRock Investment Management (UK) Limited</w:t>
      </w:r>
    </w:p>
    <w:p>
      <w:pPr>
        <w:pStyle w:val="PreformattedText"/>
        <w:bidi w:val="0"/>
        <w:spacing w:before="0" w:after="0"/>
        <w:jc w:val="left"/>
        <w:rPr/>
      </w:pPr>
      <w:r>
        <w:rPr/>
        <w:t xml:space="preserve"> </w:t>
      </w:r>
      <w:r>
        <w:rPr/>
        <w:t>BlackRock Asset Management Canada Limited</w:t>
      </w:r>
    </w:p>
    <w:p>
      <w:pPr>
        <w:pStyle w:val="PreformattedText"/>
        <w:bidi w:val="0"/>
        <w:spacing w:before="0" w:after="0"/>
        <w:jc w:val="left"/>
        <w:rPr/>
      </w:pPr>
      <w:r>
        <w:rPr/>
        <w:t xml:space="preserve"> </w:t>
      </w:r>
      <w:r>
        <w:rPr/>
        <w:t>BlackRock Fund Advisors*</w:t>
      </w:r>
    </w:p>
    <w:p>
      <w:pPr>
        <w:pStyle w:val="PreformattedText"/>
        <w:bidi w:val="0"/>
        <w:spacing w:before="0" w:after="0"/>
        <w:jc w:val="left"/>
        <w:rPr/>
      </w:pPr>
      <w:r>
        <w:rPr/>
        <w:t xml:space="preserve"> </w:t>
      </w:r>
      <w:r>
        <w:rPr/>
        <w:t>BlackRock Investment Management (Australia) Limited</w:t>
      </w:r>
    </w:p>
    <w:p>
      <w:pPr>
        <w:pStyle w:val="PreformattedText"/>
        <w:bidi w:val="0"/>
        <w:spacing w:before="0" w:after="0"/>
        <w:jc w:val="left"/>
        <w:rPr/>
      </w:pPr>
      <w:r>
        <w:rPr/>
        <w:t xml:space="preserve"> </w:t>
      </w:r>
      <w:r>
        <w:rPr/>
        <w:t>BlackRock Asset Management Ireland Limited</w:t>
      </w:r>
    </w:p>
    <w:p>
      <w:pPr>
        <w:pStyle w:val="PreformattedText"/>
        <w:bidi w:val="0"/>
        <w:spacing w:before="0" w:after="0"/>
        <w:jc w:val="left"/>
        <w:rPr/>
      </w:pPr>
      <w:r>
        <w:rPr/>
        <w:t xml:space="preserve"> </w:t>
      </w:r>
      <w:r>
        <w:rPr/>
        <w:t>BlackRock Institutional Trust Company, National Association</w:t>
      </w:r>
    </w:p>
    <w:p>
      <w:pPr>
        <w:pStyle w:val="PreformattedText"/>
        <w:bidi w:val="0"/>
        <w:spacing w:before="0" w:after="0"/>
        <w:jc w:val="left"/>
        <w:rPr/>
      </w:pPr>
      <w:r>
        <w:rPr/>
        <w:t xml:space="preserve"> </w:t>
      </w:r>
      <w:r>
        <w:rPr/>
        <w:t>BlackRock Financial Management, Inc.</w:t>
      </w:r>
    </w:p>
    <w:p>
      <w:pPr>
        <w:pStyle w:val="PreformattedText"/>
        <w:bidi w:val="0"/>
        <w:spacing w:before="0" w:after="0"/>
        <w:jc w:val="left"/>
        <w:rPr/>
      </w:pPr>
      <w:r>
        <w:rPr/>
        <w:t xml:space="preserve"> </w:t>
      </w:r>
      <w:r>
        <w:rPr/>
        <w:t>BlackRock Fund Managers Ltd</w:t>
      </w:r>
    </w:p>
    <w:p>
      <w:pPr>
        <w:pStyle w:val="PreformattedText"/>
        <w:bidi w:val="0"/>
        <w:spacing w:before="0" w:after="0"/>
        <w:jc w:val="left"/>
        <w:rPr/>
      </w:pPr>
      <w:r>
        <w:rPr/>
        <w:t xml:space="preserve"> </w:t>
      </w:r>
      <w:r>
        <w:rPr/>
        <w:t>BlackRock Asset Management Schweiz AG</w:t>
      </w:r>
    </w:p>
    <w:p>
      <w:pPr>
        <w:pStyle w:val="PreformattedText"/>
        <w:bidi w:val="0"/>
        <w:spacing w:before="0" w:after="0"/>
        <w:jc w:val="left"/>
        <w:rPr/>
      </w:pPr>
      <w:r>
        <w:rPr/>
        <w:t xml:space="preserve"> </w:t>
      </w:r>
      <w:r>
        <w:rPr/>
        <w:t>BlackRock Investment Management,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*Entity beneficially owns 5% or greater of the outstanding</w:t>
      </w:r>
    </w:p>
    <w:p>
      <w:pPr>
        <w:pStyle w:val="PreformattedText"/>
        <w:bidi w:val="0"/>
        <w:spacing w:before="0" w:after="0"/>
        <w:jc w:val="left"/>
        <w:rPr/>
      </w:pPr>
      <w:r>
        <w:rPr/>
        <w:t>shares of the security class being reported on this</w:t>
      </w:r>
    </w:p>
    <w:p>
      <w:pPr>
        <w:pStyle w:val="PreformattedText"/>
        <w:bidi w:val="0"/>
        <w:spacing w:before="0" w:after="283"/>
        <w:jc w:val="left"/>
        <w:rPr/>
      </w:pPr>
      <w:r>
        <w:rPr/>
        <w:t>Schedule 13G.</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1497</Words>
  <Characters>7938</Characters>
  <CharactersWithSpaces>9378</CharactersWithSpaces>
  <Paragraphs>222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