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INNOVEX CO-INVEST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1021 MAIN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Innovex International, Inc.</w:t>
              </w:r>
            </w:hyperlink>
            <w:r>
              <w:rPr/>
              <w:t xml:space="preserve"> [ </w:t>
            </w:r>
            <w:r>
              <w:rPr>
                <w:rFonts w:ascii="Times;serif" w:hAnsi="Times;serif"/>
                <w:color w:val="0000FF"/>
                <w:sz w:val="24"/>
                <w:shd w:fill="FFFFFF" w:val="clear"/>
              </w:rPr>
              <w:t>INVX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3"/>
        <w:gridCol w:w="912"/>
        <w:gridCol w:w="784"/>
        <w:gridCol w:w="605"/>
        <w:gridCol w:w="331"/>
        <w:gridCol w:w="1141"/>
        <w:gridCol w:w="399"/>
        <w:gridCol w:w="783"/>
        <w:gridCol w:w="1319"/>
        <w:gridCol w:w="935"/>
        <w:gridCol w:w="12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3,706,801</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(1)(7)(8)(9)(10)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13,164,573</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Amberjack Capital Fund II, L.P.</w:t>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865,508</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(2)(7)(8)(9)(10)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3,073,822</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Innovex Co-Invest Fund II, L.P.</w:t>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205,126</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(3)(7)(8)(9)(10)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728,498</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Innovex Co-Invest Fund, L.P.</w:t>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176,944</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(4)(7)(8)(9)(10)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628,411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Intervale Capital Fund II, L.P.</w:t>
            </w:r>
          </w:p>
        </w:tc>
      </w:tr>
      <w:tr>
        <w:trPr/>
        <w:tc>
          <w:tcPr>
            <w:tcW w:w="17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3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(5)(7)(8)(9)(10)</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Intervale Capital Fund II-A, L.P.</w:t>
            </w:r>
          </w:p>
        </w:tc>
      </w:tr>
      <w:tr>
        <w:trPr/>
        <w:tc>
          <w:tcPr>
            <w:tcW w:w="17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45,533</w:t>
            </w:r>
          </w:p>
        </w:tc>
        <w:tc>
          <w:tcPr>
            <w:tcW w:w="3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28.71</w:t>
            </w:r>
            <w:r>
              <w:rPr>
                <w:rFonts w:ascii="Times;serif" w:hAnsi="Times;serif"/>
                <w:color w:val="008000"/>
                <w:position w:val="7"/>
                <w:sz w:val="16"/>
                <w:sz w:val="20"/>
                <w:shd w:fill="FFFFFF" w:val="clear"/>
              </w:rPr>
              <w:t>(6)(7)(8)(9)(10)</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161,707</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Intervale Capital Fund III, L.P.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INNOVEX CO-INVEST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1021 MAIN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Innovex Co-Invest Fund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Interval Capital Associates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Intervale Capital Associates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Intervale Capital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Intervale Capital Fund II-A,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Intervale Capital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Intervale Capital GP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Intervale Capital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POST OAK PARKWAY,</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2760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shares of common stock, par value $0.01 per share, of the Issuer held directly by Amberjack Capital Fund II, L.P. ("Common Stock") that were sold in an underwritten secondary offering (the "Offering") at a price to Barclays Capital Inc.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shares of Common Stock held directly by Innovex Co-Invest Fund II,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shares of Common Stock held directly by Innovex Co-Invest Fund,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Consists of shares of Common Stock held directly by Intervale Capital Fund II,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Consists of shares of Common Stock held directly by Intervale Capital Fund II-A,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Consists of shares of Common Stock held directly by Intervale Capital Fund III, L.P. that were sold in the Offering at a price to the Underwriter of $28.71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general partner of (i) Amberjack Capital Fund II, L.P. is Amberjack Capital GP II, L.P., and the general partner of such general partner is Amberjack Capital Associates II, LLC, (ii) Innovex Co-Invest Fund II, L.P. is Innovex Co-Invest Fund II GP, L.P., and the general partner of such general partner is Innovex Co-Invest Associates, LLC, (iii) Innovex Co-Invest Fund, L.P. is Innovex Co-Invest Fund GP, L.P., and the general partner of such general partner is Innovex Co-Invest Associates, LLC, (iv) Intervale Capital Fund II, L.P. is Intervale Capital GP II, L.P., and the general partner of such general partner is Intervale Capital Associates II, LLC, (v) Intervale Capital Fund II-A, L.P. is Intervale Capital GP II, L.P., and the general partner of such general partner is Intervale Capital Associates II, LLC, and (vi) Intervale Capital Fund III, L.P. is Intervale Capital GP III, L.P., and the general partner of such general partner is Intervale Capital Associates III,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Funds affiliated with Amberjack Capital Partners, L.P. ("Amberjack Capital Partners") are referred to as the "Amberjack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By virtue of their relationships, the foregoing general partners control all voting and dispositive power over the reported shares held by such Amberjack Fund and therefore may be deemed to be the beneficial owner of such shares. The sole member of Amberjack Capital Associates II, LLC, Innovex Co-Invest Associates, LLC, Intervale Capital Associates II, LLC and Intervale Capital Associates III, LLC is Amberjack Capital Partners, and the general partner of Amberjack Capital Partners is Amberjack Management, LLC ("Amberjack Management"). By virtue of their relationships, Amberjack Capital Partners and Amberjack Management control all voting and dispositive power over the reported shares held by all the Amberjack Funds and therefore may be deemed to be the beneficial owner of such shares. Jason Turowsky is managing partner of Amberjack Management.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(Continued from footnote 9) Mr. Turowsky disclaims beneficial ownership of such securities in excess of his pecuniary interests in the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second of two Forms 4 being filed relating to the same event. The Form 4 has been split into two filings because there are more than 10 Reporting Persons in total, and the SEC's EDGAR filing system limits a single Form 4 to a maximum of 10 Reporting Persons. The first of two Forms 4 was filed by the designated filer Amberjack Capital Partners,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INNOVEX CO-INVEST FUND, L.P., By: Innovex Co-Invest Fund GP, L.P., its general partner, By: Innovex Co-Invest Associates,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INNOVEX CO-INVEST FUND GP, L.P., By: Innovex Co-Invest Associates,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INTERVALE CAPITAL ASSOCIATES II, LLC,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INTERVALE CAPITAL ASSOCIATES III, LLC,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INTERVALE CAPITAL FUND II, L.P., By: Intervale Capital GP II, L.P., its general partner, By: Intervale Capital Associates II,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INTERVALE CAPITAL FUND II-A, L.P., By Intervale Capital GP II, L.P., its general partner, By: Intervale Capital Associates II,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INTERVALE CAPITAL FUND III, L.P., By: Intervale Capital GP III, L.P., its general partner, By: Intervale Capital Associates III,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INTERVALE CAPITAL GP II, L.P., By: Intervale Capital Associates II,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INTERVALE CAPITAL GP III, L.P., By: Intervale Capital Associates III, LLC, its general partner, By: /s/ Jason Turowsky, Name: Jason Turowsky, Title: Partner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512" TargetMode="External"/><Relationship Id="rId5" Type="http://schemas.openxmlformats.org/officeDocument/2006/relationships/hyperlink" Target="http://www.sec.gov/cgi-bin/browse-edgar?action=getcompany&amp;CIK=0001042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77512" TargetMode="External"/><Relationship Id="rId10" Type="http://schemas.openxmlformats.org/officeDocument/2006/relationships/hyperlink" Target="http://www.sec.gov/cgi-bin/browse-edgar?action=getcompany&amp;CIK=0002026025" TargetMode="External"/><Relationship Id="rId11" Type="http://schemas.openxmlformats.org/officeDocument/2006/relationships/hyperlink" Target="http://www.sec.gov/cgi-bin/browse-edgar?action=getcompany&amp;CIK=0002026023" TargetMode="External"/><Relationship Id="rId12" Type="http://schemas.openxmlformats.org/officeDocument/2006/relationships/hyperlink" Target="http://www.sec.gov/cgi-bin/browse-edgar?action=getcompany&amp;CIK=0002026022" TargetMode="External"/><Relationship Id="rId13" Type="http://schemas.openxmlformats.org/officeDocument/2006/relationships/hyperlink" Target="http://www.sec.gov/cgi-bin/browse-edgar?action=getcompany&amp;CIK=0001538026" TargetMode="External"/><Relationship Id="rId14" Type="http://schemas.openxmlformats.org/officeDocument/2006/relationships/hyperlink" Target="http://www.sec.gov/cgi-bin/browse-edgar?action=getcompany&amp;CIK=0001549399" TargetMode="External"/><Relationship Id="rId15" Type="http://schemas.openxmlformats.org/officeDocument/2006/relationships/hyperlink" Target="http://www.sec.gov/cgi-bin/browse-edgar?action=getcompany&amp;CIK=0001600328" TargetMode="External"/><Relationship Id="rId16" Type="http://schemas.openxmlformats.org/officeDocument/2006/relationships/hyperlink" Target="http://www.sec.gov/cgi-bin/browse-edgar?action=getcompany&amp;CIK=0002026024" TargetMode="External"/><Relationship Id="rId17" Type="http://schemas.openxmlformats.org/officeDocument/2006/relationships/hyperlink" Target="http://www.sec.gov/cgi-bin/browse-edgar?action=getcompany&amp;CIK=0002026021"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1723</Words>
  <Characters>9333</Characters>
  <CharactersWithSpaces>10790</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