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Reed Kendal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INNOVEX INTERNATIONAL,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19120 KENSWICK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HUMBLE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Innovex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209,434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withheld at the election of the Reporting Person to satisfy tax withholding obligations with the release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 Steinheider, Attorney-in-Fact for Kendal Reed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5606" TargetMode="External"/><Relationship Id="rId5" Type="http://schemas.openxmlformats.org/officeDocument/2006/relationships/hyperlink" Target="http://www.sec.gov/cgi-bin/browse-edgar?action=getcompany&amp;CIK=0001042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3245</Characters>
  <CharactersWithSpaces>3769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