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36"/>
        </w:rPr>
      </w:pPr>
      <w:bookmarkStart w:id="0" w:name="invx-20260615.htm"/>
      <w:bookmarkStart w:id="1" w:name="ksinvx20260615"/>
      <w:bookmarkEnd w:id="0"/>
      <w:bookmarkEnd w:id="1"/>
      <w:r>
        <w:rPr>
          <w:rFonts w:ascii="Arial" w:hAnsi="Arial"/>
          <w:b/>
          <w:color w:val="000000"/>
          <w:sz w:val="36"/>
        </w:rPr>
        <w:t>UNITED STATES</w:t>
      </w:r>
    </w:p>
    <w:p>
      <w:pPr>
        <w:pStyle w:val="TextBody"/>
        <w:bidi w:val="0"/>
        <w:spacing w:before="72" w:after="283"/>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36"/>
        </w:rPr>
      </w:pPr>
      <w:r>
        <w:rPr>
          <w:rFonts w:ascii="Arial" w:hAnsi="Arial"/>
          <w:b/>
          <w:color w:val="000000"/>
          <w:sz w:val="36"/>
        </w:rPr>
        <w:t>FORM 8-K/A</w:t>
      </w:r>
    </w:p>
    <w:p>
      <w:pPr>
        <w:pStyle w:val="TextBody"/>
        <w:bidi w:val="0"/>
        <w:jc w:val="center"/>
        <w:rPr>
          <w:rFonts w:ascii="Arial" w:hAnsi="Arial"/>
          <w:b/>
          <w:color w:val="000000"/>
          <w:sz w:val="36"/>
        </w:rPr>
      </w:pPr>
      <w:r>
        <w:rPr>
          <w:rFonts w:ascii="Arial" w:hAnsi="Arial"/>
          <w:b/>
          <w:color w:val="000000"/>
          <w:sz w:val="36"/>
        </w:rPr>
        <w:t>(Amendment No.1)</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 the Securities Exchange Act of 1934</w:t>
      </w:r>
    </w:p>
    <w:p>
      <w:pPr>
        <w:pStyle w:val="TextBody"/>
        <w:bidi w:val="0"/>
        <w:jc w:val="center"/>
        <w:rPr>
          <w:rFonts w:ascii="Arial" w:hAnsi="Arial"/>
          <w:b/>
          <w:color w:val="000000"/>
          <w:sz w:val="24"/>
        </w:rPr>
      </w:pPr>
      <w:r>
        <w:rPr>
          <w:rFonts w:ascii="Arial" w:hAnsi="Arial"/>
          <w:b/>
          <w:color w:val="000000"/>
          <w:sz w:val="24"/>
        </w:rPr>
        <w:t>Date of Report (Date of earliest event reported): June 15, 2026</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Arial" w:hAnsi="Arial"/>
          <w:b/>
          <w:color w:val="000000"/>
          <w:sz w:val="48"/>
        </w:rPr>
      </w:pPr>
      <w:r>
        <w:rPr>
          <w:rFonts w:ascii="Arial" w:hAnsi="Arial"/>
          <w:b/>
          <w:color w:val="000000"/>
          <w:sz w:val="48"/>
        </w:rPr>
        <w:t>INNOVEX INTERNATIONAL, INC.</w:t>
      </w:r>
    </w:p>
    <w:p>
      <w:pPr>
        <w:pStyle w:val="TextBody"/>
        <w:bidi w:val="0"/>
        <w:jc w:val="center"/>
        <w:rPr>
          <w:rFonts w:ascii="Arial" w:hAnsi="Arial"/>
          <w:i/>
          <w:color w:val="000000"/>
          <w:sz w:val="19"/>
        </w:rPr>
      </w:pPr>
      <w:r>
        <w:rPr>
          <w:rFonts w:ascii="Arial" w:hAnsi="Arial"/>
          <w:i/>
          <w:color w:val="000000"/>
          <w:sz w:val="19"/>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4676" w:type="dxa"/>
        <w:jc w:val="left"/>
        <w:tblInd w:w="0" w:type="dxa"/>
        <w:tblLayout w:type="fixed"/>
        <w:tblCellMar>
          <w:top w:w="28" w:type="dxa"/>
          <w:left w:w="28" w:type="dxa"/>
          <w:bottom w:w="28" w:type="dxa"/>
          <w:right w:w="28" w:type="dxa"/>
        </w:tblCellMar>
      </w:tblPr>
      <w:tblGrid>
        <w:gridCol w:w="1981"/>
        <w:gridCol w:w="109"/>
        <w:gridCol w:w="1066"/>
        <w:gridCol w:w="109"/>
        <w:gridCol w:w="141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001-13439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74-2162088</w:t>
            </w:r>
          </w:p>
        </w:tc>
      </w:tr>
      <w:tr>
        <w:trPr/>
        <w:tc>
          <w:tcPr>
            <w:tcW w:w="198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(State or other jurisdiction</w:t>
            </w:r>
          </w:p>
          <w:p>
            <w:pPr>
              <w:pStyle w:val="TableContents"/>
              <w:bidi w:val="0"/>
              <w:spacing w:before="0" w:after="20"/>
              <w:jc w:val="center"/>
              <w:rPr>
                <w:rFonts w:ascii="Arial" w:hAnsi="Arial"/>
                <w:color w:val="000000"/>
                <w:sz w:val="16"/>
              </w:rPr>
            </w:pPr>
            <w:r>
              <w:rPr>
                <w:rFonts w:ascii="Arial" w:hAnsi="Arial"/>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(Commission</w:t>
            </w:r>
          </w:p>
          <w:p>
            <w:pPr>
              <w:pStyle w:val="TableContents"/>
              <w:bidi w:val="0"/>
              <w:spacing w:before="0" w:after="20"/>
              <w:jc w:val="center"/>
              <w:rPr>
                <w:rFonts w:ascii="Arial" w:hAnsi="Arial"/>
                <w:color w:val="000000"/>
                <w:sz w:val="16"/>
              </w:rPr>
            </w:pPr>
            <w:r>
              <w:rPr>
                <w:rFonts w:ascii="Arial" w:hAnsi="Arial"/>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0"/>
              <w:jc w:val="center"/>
              <w:rPr>
                <w:rFonts w:ascii="Arial" w:hAnsi="Arial"/>
                <w:color w:val="000000"/>
                <w:sz w:val="16"/>
              </w:rPr>
            </w:pPr>
            <w:r>
              <w:rPr>
                <w:rFonts w:ascii="Arial" w:hAnsi="Arial"/>
                <w:color w:val="000000"/>
                <w:sz w:val="16"/>
              </w:rPr>
              <w:t>Identification No.)</w:t>
            </w:r>
          </w:p>
        </w:tc>
      </w:tr>
    </w:tbl>
    <w:p>
      <w:pPr>
        <w:pStyle w:val="TextBody"/>
        <w:bidi w:val="0"/>
        <w:jc w:val="left"/>
        <w:rPr/>
      </w:pPr>
      <w:r>
        <w:rPr/>
        <w:t> </w:t>
      </w:r>
    </w:p>
    <w:tbl>
      <w:tblPr>
        <w:tblW w:w="3996" w:type="dxa"/>
        <w:jc w:val="left"/>
        <w:tblInd w:w="0" w:type="dxa"/>
        <w:tblLayout w:type="fixed"/>
        <w:tblCellMar>
          <w:top w:w="28" w:type="dxa"/>
          <w:left w:w="28" w:type="dxa"/>
          <w:bottom w:w="28" w:type="dxa"/>
          <w:right w:w="28" w:type="dxa"/>
        </w:tblCellMar>
      </w:tblPr>
      <w:tblGrid>
        <w:gridCol w:w="2956"/>
        <w:gridCol w:w="109"/>
        <w:gridCol w:w="931"/>
      </w:tblGrid>
      <w:tr>
        <w:trPr/>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0"/>
              <w:jc w:val="center"/>
              <w:rPr>
                <w:rFonts w:ascii="Arial" w:hAnsi="Arial"/>
                <w:b/>
                <w:color w:val="000000"/>
                <w:sz w:val="20"/>
              </w:rPr>
            </w:pPr>
            <w:r>
              <w:rPr>
                <w:rFonts w:ascii="Arial" w:hAnsi="Arial"/>
                <w:b/>
                <w:color w:val="000000"/>
                <w:sz w:val="20"/>
              </w:rPr>
              <w:t>19120 Kenswick Drive,</w:t>
            </w:r>
          </w:p>
          <w:p>
            <w:pPr>
              <w:pStyle w:val="TableContents"/>
              <w:bidi w:val="0"/>
              <w:spacing w:before="0" w:after="20"/>
              <w:jc w:val="center"/>
              <w:rPr>
                <w:rFonts w:ascii="Arial" w:hAnsi="Arial"/>
                <w:b/>
                <w:color w:val="000000"/>
                <w:sz w:val="20"/>
              </w:rPr>
            </w:pPr>
            <w:r>
              <w:rPr>
                <w:rFonts w:ascii="Arial" w:hAnsi="Arial"/>
                <w:b/>
                <w:color w:val="000000"/>
                <w:sz w:val="20"/>
              </w:rPr>
              <w:t>Humble,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77338</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spacing w:before="180" w:after="283"/>
        <w:jc w:val="center"/>
        <w:rPr>
          <w:rFonts w:ascii="Arial" w:hAnsi="Arial"/>
          <w:b/>
          <w:color w:val="000000"/>
          <w:sz w:val="20"/>
        </w:rPr>
      </w:pPr>
      <w:r>
        <w:rPr>
          <w:rFonts w:ascii="Arial" w:hAnsi="Arial"/>
          <w:b/>
          <w:color w:val="000000"/>
          <w:sz w:val="20"/>
        </w:rPr>
        <w:t>(346) 398-0000</w:t>
      </w:r>
    </w:p>
    <w:p>
      <w:pPr>
        <w:pStyle w:val="TextBody"/>
        <w:bidi w:val="0"/>
        <w:jc w:val="center"/>
        <w:rPr>
          <w:rFonts w:ascii="Arial" w:hAnsi="Arial"/>
          <w:color w:val="000000"/>
          <w:sz w:val="16"/>
        </w:rPr>
      </w:pPr>
      <w:r>
        <w:rPr>
          <w:rFonts w:ascii="Arial" w:hAnsi="Arial"/>
          <w:color w:val="000000"/>
          <w:sz w:val="16"/>
        </w:rPr>
        <w:t>(Registrant’s telephone number, including area code)</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 (</w:t>
      </w:r>
      <w:r>
        <w:rPr>
          <w:rFonts w:ascii="Arial" w:hAnsi="Arial"/>
          <w:i/>
          <w:color w:val="000000"/>
          <w:sz w:val="18"/>
        </w:rPr>
        <w:t>see</w:t>
      </w:r>
      <w:r>
        <w:rPr>
          <w:rFonts w:ascii="Times New Roman" w:hAnsi="Times New Roman"/>
          <w:color w:val="000000"/>
          <w:sz w:val="20"/>
        </w:rPr>
        <w:t xml:space="preserve"> </w:t>
      </w:r>
      <w:r>
        <w:rPr>
          <w:rFonts w:ascii="Arial" w:hAnsi="Arial"/>
          <w:color w:val="000000"/>
          <w:sz w:val="18"/>
        </w:rPr>
        <w:t>General Instruction A.2):</w:t>
      </w:r>
    </w:p>
    <w:p>
      <w:pPr>
        <w:pStyle w:val="TextBody"/>
        <w:bidi w:val="0"/>
        <w:spacing w:before="150" w:after="283"/>
        <w:jc w:val="both"/>
        <w:rPr/>
      </w:pPr>
      <w:r>
        <w:rPr>
          <w:color w:val="000000"/>
        </w:rPr>
        <w:t xml:space="preserve">☐ </w:t>
      </w:r>
      <w:r>
        <w:rPr>
          <w:rFonts w:ascii="Arial" w:hAnsi="Arial"/>
          <w:color w:val="000000"/>
          <w:sz w:val="18"/>
        </w:rPr>
        <w:t>Written communications pursuant to Rule 425 under the Securities Act (17 CFR 230.425)</w:t>
      </w:r>
    </w:p>
    <w:p>
      <w:pPr>
        <w:pStyle w:val="TextBody"/>
        <w:bidi w:val="0"/>
        <w:spacing w:before="150" w:after="283"/>
        <w:jc w:val="both"/>
        <w:rPr/>
      </w:pPr>
      <w:r>
        <w:rPr>
          <w:color w:val="000000"/>
        </w:rPr>
        <w:t xml:space="preserve">☐ </w:t>
      </w:r>
      <w:r>
        <w:rPr>
          <w:rFonts w:ascii="Arial" w:hAnsi="Arial"/>
          <w:color w:val="000000"/>
          <w:sz w:val="18"/>
        </w:rPr>
        <w:t>Soliciting material pursuant to Rule 14a-12 under the Exchange Act (17 CFR 240.14a-12)</w:t>
      </w:r>
    </w:p>
    <w:p>
      <w:pPr>
        <w:pStyle w:val="TextBody"/>
        <w:bidi w:val="0"/>
        <w:spacing w:before="150" w:after="283"/>
        <w:jc w:val="both"/>
        <w:rPr/>
      </w:pPr>
      <w:r>
        <w:rPr>
          <w:color w:val="000000"/>
        </w:rPr>
        <w:t xml:space="preserve">☐ </w:t>
      </w:r>
      <w:r>
        <w:rPr>
          <w:rFonts w:ascii="Arial" w:hAnsi="Arial"/>
          <w:color w:val="000000"/>
          <w:sz w:val="18"/>
        </w:rPr>
        <w:t>Pre-commencement communications pursuant to Rule 14d-2(b) under the Exchange Act (17 CFR 240.14d-2(b))</w:t>
      </w:r>
    </w:p>
    <w:p>
      <w:pPr>
        <w:pStyle w:val="TextBody"/>
        <w:bidi w:val="0"/>
        <w:spacing w:before="150" w:after="283"/>
        <w:jc w:val="both"/>
        <w:rPr/>
      </w:pPr>
      <w:r>
        <w:rPr>
          <w:color w:val="000000"/>
        </w:rPr>
        <w:t xml:space="preserve">☐ </w:t>
      </w:r>
      <w:r>
        <w:rPr>
          <w:rFonts w:ascii="Arial" w:hAnsi="Arial"/>
          <w:color w:val="000000"/>
          <w:sz w:val="18"/>
        </w:rPr>
        <w:t>Pre-commencement communications pursuant to Rule 13e-4(c) under the Exchange Act (17 CFR 240.13e-4(c))</w:t>
      </w:r>
    </w:p>
    <w:p>
      <w:pPr>
        <w:pStyle w:val="TextBody"/>
        <w:bidi w:val="0"/>
        <w:spacing w:before="200" w:after="200"/>
        <w:jc w:val="both"/>
        <w:rPr>
          <w:rFonts w:ascii="Arial" w:hAnsi="Arial"/>
          <w:color w:val="000000"/>
          <w:sz w:val="18"/>
        </w:rPr>
      </w:pPr>
      <w:r>
        <w:rPr>
          <w:rFonts w:ascii="Arial" w:hAnsi="Arial"/>
          <w:color w:val="000000"/>
          <w:sz w:val="18"/>
        </w:rPr>
        <w:t>Securities registered pursuant to Section 12(b) of the Act:</w:t>
      </w:r>
    </w:p>
    <w:tbl>
      <w:tblPr>
        <w:tblW w:w="6941" w:type="dxa"/>
        <w:jc w:val="left"/>
        <w:tblInd w:w="0" w:type="dxa"/>
        <w:tblLayout w:type="fixed"/>
        <w:tblCellMar>
          <w:top w:w="28" w:type="dxa"/>
          <w:left w:w="28" w:type="dxa"/>
          <w:bottom w:w="28" w:type="dxa"/>
          <w:right w:w="28" w:type="dxa"/>
        </w:tblCellMar>
      </w:tblPr>
      <w:tblGrid>
        <w:gridCol w:w="3451"/>
        <w:gridCol w:w="109"/>
        <w:gridCol w:w="961"/>
        <w:gridCol w:w="109"/>
        <w:gridCol w:w="2311"/>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1"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Name of each exchange</w:t>
            </w:r>
          </w:p>
          <w:p>
            <w:pPr>
              <w:pStyle w:val="TableContents"/>
              <w:bidi w:val="0"/>
              <w:spacing w:before="0" w:after="283"/>
              <w:jc w:val="center"/>
              <w:rPr>
                <w:rFonts w:ascii="Arial" w:hAnsi="Arial"/>
                <w:b/>
                <w:color w:val="000000"/>
                <w:sz w:val="18"/>
              </w:rPr>
            </w:pPr>
            <w:r>
              <w:rPr>
                <w:rFonts w:ascii="Arial" w:hAnsi="Arial"/>
                <w:b/>
                <w:color w:val="000000"/>
                <w:sz w:val="18"/>
              </w:rPr>
              <w:t>on which registered</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INVX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New York Stock Exchange</w:t>
            </w:r>
          </w:p>
        </w:tc>
      </w:tr>
    </w:tbl>
    <w:p>
      <w:pPr>
        <w:pStyle w:val="TextBody"/>
        <w:bidi w:val="0"/>
        <w:spacing w:before="180" w:after="180"/>
        <w:jc w:val="left"/>
        <w:rPr>
          <w:rFonts w:ascii="Arial" w:hAnsi="Arial"/>
          <w:color w:val="000000"/>
          <w:sz w:val="20"/>
        </w:rPr>
      </w:pPr>
      <w:r>
        <w:rPr>
          <w:rFonts w:ascii="Arial" w:hAnsi="Arial"/>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3" w:after="2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3" w:after="20"/>
              <w:jc w:val="left"/>
              <w:rPr>
                <w:rFonts w:ascii="Arial" w:hAnsi="Arial"/>
                <w:color w:val="000000"/>
                <w:sz w:val="20"/>
              </w:rPr>
            </w:pPr>
            <w:r>
              <w:rPr>
                <w:rFonts w:ascii="Arial" w:hAnsi="Arial"/>
                <w:color w:val="000000"/>
                <w:sz w:val="20"/>
              </w:rPr>
              <w:t>Emerging growth company</w:t>
            </w:r>
          </w:p>
        </w:tc>
      </w:tr>
      <w:tr>
        <w:trPr/>
        <w:tc>
          <w:tcPr>
            <w:tcW w:w="331" w:type="dxa"/>
            <w:tcBorders/>
            <w:tcMar>
              <w:top w:w="0" w:type="dxa"/>
              <w:left w:w="0" w:type="dxa"/>
              <w:bottom w:w="0" w:type="dxa"/>
              <w:right w:w="0" w:type="dxa"/>
            </w:tcMar>
            <w:vAlign w:val="center"/>
          </w:tcPr>
          <w:p>
            <w:pPr>
              <w:pStyle w:val="TableContents"/>
              <w:bidi w:val="0"/>
              <w:spacing w:before="43" w:after="2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3" w:after="20"/>
              <w:jc w:val="left"/>
              <w:rPr>
                <w:rFonts w:ascii="Arial" w:hAnsi="Arial"/>
                <w:color w:val="000000"/>
                <w:sz w:val="20"/>
              </w:rPr>
            </w:pPr>
            <w:r>
              <w:rPr>
                <w:rFonts w:ascii="Arial" w:hAnsi="Arial"/>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pBdr>
          <w:bottom w:val="double" w:sz="2"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Explanatory Note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Amendment No.1 to the Current Report on Form 8-K (this "Amendment") is being filed by Innovex International, Inc., a Delaware corporation (the "Company") for the purpose of amending and supplementing Item 3.02 of that certain Current Report on Form 8-K originally filed by the Company with the U.S. Securities and Exchange Commission on June 15, 2026 (the "Original Form 8-K"). This Amendment is being filed to update the number of shares of the Company's common stock, par value $0.01 per share (the "Common Stock") that were issued as merger consideration in connection with the Company's acquisition (the "Transaction") of TCO Group AS, a Norwegian private limited liability company (“TCO Group”). No other changes have been made to the Original Form 8-K.</w:t>
      </w:r>
    </w:p>
    <w:p>
      <w:pPr>
        <w:pStyle w:val="TextBody"/>
        <w:bidi w:val="0"/>
        <w:jc w:val="left"/>
        <w:rPr/>
      </w:pPr>
      <w:r>
        <w:rPr/>
        <w:t> </w:t>
      </w:r>
    </w:p>
    <w:tbl>
      <w:tblPr>
        <w:tblW w:w="4817" w:type="dxa"/>
        <w:jc w:val="left"/>
        <w:tblInd w:w="0" w:type="dxa"/>
        <w:tblLayout w:type="fixed"/>
        <w:tblCellMar>
          <w:top w:w="28" w:type="dxa"/>
          <w:left w:w="28" w:type="dxa"/>
          <w:bottom w:w="28" w:type="dxa"/>
          <w:right w:w="28" w:type="dxa"/>
        </w:tblCellMar>
      </w:tblPr>
      <w:tblGrid>
        <w:gridCol w:w="961"/>
        <w:gridCol w:w="3856"/>
      </w:tblGrid>
      <w:tr>
        <w:trPr/>
        <w:tc>
          <w:tcPr>
            <w:tcW w:w="961"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3.02</w:t>
            </w:r>
          </w:p>
        </w:tc>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Unregistered Sales of Equity Securities.</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information set forth in Item 3.02 of the Original Form 8-K is hereby supplemented as follows: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On July 1, 2026, the Company closed the Transaction and issued 1,060,713 shares of Common Stock to the seller as merger consideration. The number of shares issued was determined based on the average of the volume weighted average trading prices of the Common Stock on the New York Stock Exchange over the fifteen trading days immediately preceding June 15, 2026. The issuance of shares of Common Stock is exempt from the registration requirements of the Securities Act of 1933, as amended, pursuant to Section 4(a)(2)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108"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both"/>
        <w:rPr/>
      </w:pPr>
      <w:r>
        <w:rPr/>
        <w:t> </w:t>
      </w:r>
    </w:p>
    <w:tbl>
      <w:tblPr>
        <w:tblW w:w="4293" w:type="dxa"/>
        <w:jc w:val="left"/>
        <w:tblInd w:w="0" w:type="dxa"/>
        <w:tblLayout w:type="fixed"/>
        <w:tblCellMar>
          <w:top w:w="28" w:type="dxa"/>
          <w:left w:w="28" w:type="dxa"/>
          <w:bottom w:w="28" w:type="dxa"/>
          <w:right w:w="28" w:type="dxa"/>
        </w:tblCellMar>
      </w:tblPr>
      <w:tblGrid>
        <w:gridCol w:w="1711"/>
        <w:gridCol w:w="406"/>
        <w:gridCol w:w="2176"/>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Innovex International,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July 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Adam Anderson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Adam Anderson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576</Words>
  <Characters>3133</Characters>
  <CharactersWithSpaces>3683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