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INNOVEX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tbl>
      <w:tblPr>
        <w:tblLayout w:type="fixed"/>
        <w:tblInd w:w="2280" w:type="dxa"/>
        <w:tblCellMar>
          <w:top w:w="0" w:type="dxa"/>
          <w:left w:w="0" w:type="dxa"/>
          <w:bottom w:w="0" w:type="dxa"/>
          <w:right w:w="0" w:type="dxa"/>
        </w:tblCellMar>
      </w:tblPr>
      <w:tr>
        <w:trPr>
          <w:trHeight w:val="212"/>
        </w:trPr>
        <w:tc>
          <w:tcPr>
            <w:tcW w:w="2380" w:type="dxa"/>
            <w:vAlign w:val="bottom"/>
          </w:tcPr>
          <w:p>
            <w:pPr>
              <w:jc w:val="center"/>
              <w:ind w:right="682"/>
              <w:spacing w:after="0"/>
              <w:rPr>
                <w:sz w:val="20"/>
                <w:szCs w:val="20"/>
                <w:color w:val="auto"/>
              </w:rPr>
            </w:pPr>
            <w:r>
              <w:rPr>
                <w:rFonts w:ascii="Arial" w:cs="Arial" w:eastAsia="Arial" w:hAnsi="Arial"/>
                <w:sz w:val="18"/>
                <w:szCs w:val="18"/>
                <w:b w:val="1"/>
                <w:bCs w:val="1"/>
                <w:color w:val="auto"/>
                <w:w w:val="98"/>
              </w:rPr>
              <w:t>Delaware</w:t>
            </w:r>
          </w:p>
        </w:tc>
        <w:tc>
          <w:tcPr>
            <w:tcW w:w="2360" w:type="dxa"/>
            <w:vAlign w:val="bottom"/>
          </w:tcPr>
          <w:p>
            <w:pPr>
              <w:ind w:left="720"/>
              <w:spacing w:after="0"/>
              <w:rPr>
                <w:sz w:val="20"/>
                <w:szCs w:val="20"/>
                <w:color w:val="auto"/>
              </w:rPr>
            </w:pPr>
            <w:r>
              <w:rPr>
                <w:rFonts w:ascii="Arial" w:cs="Arial" w:eastAsia="Arial" w:hAnsi="Arial"/>
                <w:sz w:val="18"/>
                <w:szCs w:val="18"/>
                <w:b w:val="1"/>
                <w:bCs w:val="1"/>
                <w:color w:val="auto"/>
              </w:rPr>
              <w:t>001-13439</w:t>
            </w:r>
          </w:p>
        </w:tc>
        <w:tc>
          <w:tcPr>
            <w:tcW w:w="1900" w:type="dxa"/>
            <w:vAlign w:val="bottom"/>
          </w:tcPr>
          <w:p>
            <w:pPr>
              <w:jc w:val="center"/>
              <w:ind w:left="702"/>
              <w:spacing w:after="0"/>
              <w:rPr>
                <w:sz w:val="20"/>
                <w:szCs w:val="20"/>
                <w:color w:val="auto"/>
              </w:rPr>
            </w:pPr>
            <w:r>
              <w:rPr>
                <w:rFonts w:ascii="Arial" w:cs="Arial" w:eastAsia="Arial" w:hAnsi="Arial"/>
                <w:sz w:val="18"/>
                <w:szCs w:val="18"/>
                <w:b w:val="1"/>
                <w:bCs w:val="1"/>
                <w:color w:val="auto"/>
                <w:w w:val="99"/>
              </w:rPr>
              <w:t>74-2162088</w:t>
            </w:r>
          </w:p>
        </w:tc>
      </w:tr>
      <w:tr>
        <w:trPr>
          <w:trHeight w:val="162"/>
        </w:trPr>
        <w:tc>
          <w:tcPr>
            <w:tcW w:w="2380" w:type="dxa"/>
            <w:vAlign w:val="bottom"/>
          </w:tcPr>
          <w:p>
            <w:pPr>
              <w:jc w:val="center"/>
              <w:ind w:right="662"/>
              <w:spacing w:after="0"/>
              <w:rPr>
                <w:sz w:val="20"/>
                <w:szCs w:val="20"/>
                <w:color w:val="auto"/>
              </w:rPr>
            </w:pPr>
            <w:r>
              <w:rPr>
                <w:rFonts w:ascii="Arial" w:cs="Arial" w:eastAsia="Arial" w:hAnsi="Arial"/>
                <w:sz w:val="14"/>
                <w:szCs w:val="14"/>
                <w:color w:val="auto"/>
              </w:rPr>
              <w:t>(State or other jurisdiction</w:t>
            </w:r>
          </w:p>
        </w:tc>
        <w:tc>
          <w:tcPr>
            <w:tcW w:w="2360" w:type="dxa"/>
            <w:vAlign w:val="bottom"/>
          </w:tcPr>
          <w:p>
            <w:pPr>
              <w:ind w:left="740"/>
              <w:spacing w:after="0"/>
              <w:rPr>
                <w:sz w:val="20"/>
                <w:szCs w:val="20"/>
                <w:color w:val="auto"/>
              </w:rPr>
            </w:pPr>
            <w:r>
              <w:rPr>
                <w:rFonts w:ascii="Arial" w:cs="Arial" w:eastAsia="Arial" w:hAnsi="Arial"/>
                <w:sz w:val="14"/>
                <w:szCs w:val="14"/>
                <w:color w:val="auto"/>
              </w:rPr>
              <w:t>(Commission</w:t>
            </w:r>
          </w:p>
        </w:tc>
        <w:tc>
          <w:tcPr>
            <w:tcW w:w="1900" w:type="dxa"/>
            <w:vAlign w:val="bottom"/>
          </w:tcPr>
          <w:p>
            <w:pPr>
              <w:jc w:val="center"/>
              <w:ind w:left="682"/>
              <w:spacing w:after="0"/>
              <w:rPr>
                <w:sz w:val="20"/>
                <w:szCs w:val="20"/>
                <w:color w:val="auto"/>
              </w:rPr>
            </w:pPr>
            <w:r>
              <w:rPr>
                <w:rFonts w:ascii="Arial" w:cs="Arial" w:eastAsia="Arial" w:hAnsi="Arial"/>
                <w:sz w:val="14"/>
                <w:szCs w:val="14"/>
                <w:color w:val="auto"/>
              </w:rPr>
              <w:t>(I.R.S. Employer</w:t>
            </w:r>
          </w:p>
        </w:tc>
      </w:tr>
      <w:tr>
        <w:trPr>
          <w:trHeight w:val="190"/>
        </w:trPr>
        <w:tc>
          <w:tcPr>
            <w:tcW w:w="2380" w:type="dxa"/>
            <w:vAlign w:val="bottom"/>
          </w:tcPr>
          <w:p>
            <w:pPr>
              <w:jc w:val="center"/>
              <w:ind w:right="662"/>
              <w:spacing w:after="0"/>
              <w:rPr>
                <w:sz w:val="20"/>
                <w:szCs w:val="20"/>
                <w:color w:val="auto"/>
              </w:rPr>
            </w:pPr>
            <w:r>
              <w:rPr>
                <w:rFonts w:ascii="Arial" w:cs="Arial" w:eastAsia="Arial" w:hAnsi="Arial"/>
                <w:sz w:val="14"/>
                <w:szCs w:val="14"/>
                <w:color w:val="auto"/>
              </w:rPr>
              <w:t>of incorporation)</w:t>
            </w:r>
          </w:p>
        </w:tc>
        <w:tc>
          <w:tcPr>
            <w:tcW w:w="2360" w:type="dxa"/>
            <w:vAlign w:val="bottom"/>
          </w:tcPr>
          <w:p>
            <w:pPr>
              <w:ind w:left="740"/>
              <w:spacing w:after="0"/>
              <w:rPr>
                <w:sz w:val="20"/>
                <w:szCs w:val="20"/>
                <w:color w:val="auto"/>
              </w:rPr>
            </w:pPr>
            <w:r>
              <w:rPr>
                <w:rFonts w:ascii="Arial" w:cs="Arial" w:eastAsia="Arial" w:hAnsi="Arial"/>
                <w:sz w:val="14"/>
                <w:szCs w:val="14"/>
                <w:color w:val="auto"/>
              </w:rPr>
              <w:t>File Number)</w:t>
            </w:r>
          </w:p>
        </w:tc>
        <w:tc>
          <w:tcPr>
            <w:tcW w:w="1900" w:type="dxa"/>
            <w:vAlign w:val="bottom"/>
          </w:tcPr>
          <w:p>
            <w:pPr>
              <w:jc w:val="center"/>
              <w:ind w:left="702"/>
              <w:spacing w:after="0"/>
              <w:rPr>
                <w:sz w:val="20"/>
                <w:szCs w:val="20"/>
                <w:color w:val="auto"/>
              </w:rPr>
            </w:pPr>
            <w:r>
              <w:rPr>
                <w:rFonts w:ascii="Arial" w:cs="Arial" w:eastAsia="Arial" w:hAnsi="Arial"/>
                <w:sz w:val="14"/>
                <w:szCs w:val="14"/>
                <w:color w:val="auto"/>
              </w:rPr>
              <w:t>Identification No.)</w:t>
            </w:r>
          </w:p>
        </w:tc>
      </w:tr>
    </w:tbl>
    <w:p>
      <w:pPr>
        <w:spacing w:after="0" w:line="97" w:lineRule="exact"/>
        <w:rPr>
          <w:sz w:val="24"/>
          <w:szCs w:val="24"/>
          <w:color w:val="auto"/>
        </w:rPr>
      </w:pPr>
    </w:p>
    <w:tbl>
      <w:tblPr>
        <w:tblLayout w:type="fixed"/>
        <w:tblInd w:w="2720" w:type="dxa"/>
        <w:tblCellMar>
          <w:top w:w="0" w:type="dxa"/>
          <w:left w:w="0" w:type="dxa"/>
          <w:bottom w:w="0" w:type="dxa"/>
          <w:right w:w="0" w:type="dxa"/>
        </w:tblCellMar>
      </w:tblPr>
      <w:tr>
        <w:trPr>
          <w:trHeight w:val="216"/>
        </w:trPr>
        <w:tc>
          <w:tcPr>
            <w:tcW w:w="3680" w:type="dxa"/>
            <w:vAlign w:val="bottom"/>
          </w:tcPr>
          <w:p>
            <w:pPr>
              <w:jc w:val="center"/>
              <w:ind w:right="1116"/>
              <w:spacing w:after="0"/>
              <w:rPr>
                <w:sz w:val="20"/>
                <w:szCs w:val="20"/>
                <w:color w:val="auto"/>
              </w:rPr>
            </w:pPr>
            <w:r>
              <w:rPr>
                <w:rFonts w:ascii="Arial" w:cs="Arial" w:eastAsia="Arial" w:hAnsi="Arial"/>
                <w:sz w:val="18"/>
                <w:szCs w:val="18"/>
                <w:b w:val="1"/>
                <w:bCs w:val="1"/>
                <w:color w:val="auto"/>
                <w:w w:val="99"/>
              </w:rPr>
              <w:t>19120 Kenswick Drive,</w:t>
            </w:r>
          </w:p>
        </w:tc>
        <w:tc>
          <w:tcPr>
            <w:tcW w:w="1900" w:type="dxa"/>
            <w:vAlign w:val="bottom"/>
          </w:tcPr>
          <w:p>
            <w:pPr>
              <w:spacing w:after="0"/>
              <w:rPr>
                <w:sz w:val="18"/>
                <w:szCs w:val="18"/>
                <w:color w:val="auto"/>
              </w:rPr>
            </w:pPr>
          </w:p>
        </w:tc>
      </w:tr>
      <w:tr>
        <w:trPr>
          <w:trHeight w:val="239"/>
        </w:trPr>
        <w:tc>
          <w:tcPr>
            <w:tcW w:w="3680" w:type="dxa"/>
            <w:vAlign w:val="bottom"/>
          </w:tcPr>
          <w:p>
            <w:pPr>
              <w:jc w:val="center"/>
              <w:ind w:right="1116"/>
              <w:spacing w:after="0"/>
              <w:rPr>
                <w:sz w:val="20"/>
                <w:szCs w:val="20"/>
                <w:color w:val="auto"/>
              </w:rPr>
            </w:pPr>
            <w:r>
              <w:rPr>
                <w:rFonts w:ascii="Arial" w:cs="Arial" w:eastAsia="Arial" w:hAnsi="Arial"/>
                <w:sz w:val="18"/>
                <w:szCs w:val="18"/>
                <w:b w:val="1"/>
                <w:bCs w:val="1"/>
                <w:color w:val="auto"/>
              </w:rPr>
              <w:t>Humble, Texas</w:t>
            </w:r>
          </w:p>
        </w:tc>
        <w:tc>
          <w:tcPr>
            <w:tcW w:w="1900" w:type="dxa"/>
            <w:vAlign w:val="bottom"/>
          </w:tcPr>
          <w:p>
            <w:pPr>
              <w:jc w:val="right"/>
              <w:ind w:right="19"/>
              <w:spacing w:after="0"/>
              <w:rPr>
                <w:sz w:val="20"/>
                <w:szCs w:val="20"/>
                <w:color w:val="auto"/>
              </w:rPr>
            </w:pPr>
            <w:r>
              <w:rPr>
                <w:rFonts w:ascii="Arial" w:cs="Arial" w:eastAsia="Arial" w:hAnsi="Arial"/>
                <w:sz w:val="18"/>
                <w:szCs w:val="18"/>
                <w:b w:val="1"/>
                <w:bCs w:val="1"/>
                <w:color w:val="auto"/>
              </w:rPr>
              <w:t>77338</w:t>
            </w:r>
          </w:p>
        </w:tc>
      </w:tr>
      <w:tr>
        <w:trPr>
          <w:trHeight w:val="190"/>
        </w:trPr>
        <w:tc>
          <w:tcPr>
            <w:tcW w:w="3680" w:type="dxa"/>
            <w:vAlign w:val="bottom"/>
          </w:tcPr>
          <w:p>
            <w:pPr>
              <w:jc w:val="center"/>
              <w:ind w:right="1136"/>
              <w:spacing w:after="0"/>
              <w:rPr>
                <w:sz w:val="20"/>
                <w:szCs w:val="20"/>
                <w:color w:val="auto"/>
              </w:rPr>
            </w:pPr>
            <w:r>
              <w:rPr>
                <w:rFonts w:ascii="Arial" w:cs="Arial" w:eastAsia="Arial" w:hAnsi="Arial"/>
                <w:sz w:val="14"/>
                <w:szCs w:val="14"/>
                <w:color w:val="auto"/>
              </w:rPr>
              <w:t>(Address of principal executive offices)</w:t>
            </w:r>
          </w:p>
        </w:tc>
        <w:tc>
          <w:tcPr>
            <w:tcW w:w="1900" w:type="dxa"/>
            <w:vAlign w:val="bottom"/>
          </w:tcPr>
          <w:p>
            <w:pPr>
              <w:jc w:val="center"/>
              <w:ind w:left="1139"/>
              <w:spacing w:after="0"/>
              <w:rPr>
                <w:sz w:val="20"/>
                <w:szCs w:val="20"/>
                <w:color w:val="auto"/>
              </w:rPr>
            </w:pPr>
            <w:r>
              <w:rPr>
                <w:rFonts w:ascii="Arial" w:cs="Arial" w:eastAsia="Arial" w:hAnsi="Arial"/>
                <w:sz w:val="14"/>
                <w:szCs w:val="14"/>
                <w:color w:val="auto"/>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(346) 398-0000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w:t>
      </w:r>
    </w:p>
    <w:p>
      <w:pPr>
        <w:spacing w:after="0" w:line="8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2820" w:firstLine="8"/>
        <w:spacing w:after="0" w:line="533" w:lineRule="auto"/>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44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880" w:type="dxa"/>
            <w:vAlign w:val="bottom"/>
          </w:tcPr>
          <w:p>
            <w:pPr>
              <w:jc w:val="center"/>
              <w:ind w:right="159"/>
              <w:spacing w:after="0"/>
              <w:rPr>
                <w:sz w:val="20"/>
                <w:szCs w:val="20"/>
                <w:color w:val="auto"/>
              </w:rPr>
            </w:pPr>
            <w:r>
              <w:rPr>
                <w:rFonts w:ascii="Arial" w:cs="Arial" w:eastAsia="Arial" w:hAnsi="Arial"/>
                <w:sz w:val="16"/>
                <w:szCs w:val="16"/>
                <w:b w:val="1"/>
                <w:bCs w:val="1"/>
                <w:color w:val="auto"/>
              </w:rPr>
              <w:t>Trading</w:t>
            </w:r>
          </w:p>
        </w:tc>
        <w:tc>
          <w:tcPr>
            <w:tcW w:w="3100" w:type="dxa"/>
            <w:vAlign w:val="bottom"/>
          </w:tcPr>
          <w:p>
            <w:pPr>
              <w:jc w:val="center"/>
              <w:ind w:left="1099"/>
              <w:spacing w:after="0"/>
              <w:rPr>
                <w:sz w:val="20"/>
                <w:szCs w:val="20"/>
                <w:color w:val="auto"/>
              </w:rPr>
            </w:pPr>
            <w:r>
              <w:rPr>
                <w:rFonts w:ascii="Arial" w:cs="Arial" w:eastAsia="Arial" w:hAnsi="Arial"/>
                <w:sz w:val="16"/>
                <w:szCs w:val="16"/>
                <w:b w:val="1"/>
                <w:bCs w:val="1"/>
                <w:color w:val="auto"/>
              </w:rPr>
              <w:t>Name of each exchange</w:t>
            </w:r>
          </w:p>
        </w:tc>
      </w:tr>
      <w:tr>
        <w:trPr>
          <w:trHeight w:val="189"/>
        </w:trPr>
        <w:tc>
          <w:tcPr>
            <w:tcW w:w="3880" w:type="dxa"/>
            <w:vAlign w:val="bottom"/>
          </w:tcPr>
          <w:p>
            <w:pPr>
              <w:jc w:val="center"/>
              <w:ind w:right="839"/>
              <w:spacing w:after="0"/>
              <w:rPr>
                <w:sz w:val="20"/>
                <w:szCs w:val="20"/>
                <w:color w:val="auto"/>
              </w:rPr>
            </w:pPr>
            <w:r>
              <w:rPr>
                <w:rFonts w:ascii="Arial" w:cs="Arial" w:eastAsia="Arial" w:hAnsi="Arial"/>
                <w:sz w:val="16"/>
                <w:szCs w:val="16"/>
                <w:b w:val="1"/>
                <w:bCs w:val="1"/>
                <w:color w:val="auto"/>
              </w:rPr>
              <w:t>Title of each class</w:t>
            </w:r>
          </w:p>
        </w:tc>
        <w:tc>
          <w:tcPr>
            <w:tcW w:w="2880" w:type="dxa"/>
            <w:vAlign w:val="bottom"/>
          </w:tcPr>
          <w:p>
            <w:pPr>
              <w:jc w:val="center"/>
              <w:ind w:right="159"/>
              <w:spacing w:after="0"/>
              <w:rPr>
                <w:sz w:val="20"/>
                <w:szCs w:val="20"/>
                <w:color w:val="auto"/>
              </w:rPr>
            </w:pPr>
            <w:r>
              <w:rPr>
                <w:rFonts w:ascii="Arial" w:cs="Arial" w:eastAsia="Arial" w:hAnsi="Arial"/>
                <w:sz w:val="16"/>
                <w:szCs w:val="16"/>
                <w:b w:val="1"/>
                <w:bCs w:val="1"/>
                <w:color w:val="auto"/>
              </w:rPr>
              <w:t>symbol(s)</w:t>
            </w:r>
          </w:p>
        </w:tc>
        <w:tc>
          <w:tcPr>
            <w:tcW w:w="3100" w:type="dxa"/>
            <w:vAlign w:val="bottom"/>
          </w:tcPr>
          <w:p>
            <w:pPr>
              <w:jc w:val="center"/>
              <w:ind w:left="1079"/>
              <w:spacing w:after="0"/>
              <w:rPr>
                <w:sz w:val="20"/>
                <w:szCs w:val="20"/>
                <w:color w:val="auto"/>
              </w:rPr>
            </w:pPr>
            <w:r>
              <w:rPr>
                <w:rFonts w:ascii="Arial" w:cs="Arial" w:eastAsia="Arial" w:hAnsi="Arial"/>
                <w:sz w:val="16"/>
                <w:szCs w:val="16"/>
                <w:b w:val="1"/>
                <w:bCs w:val="1"/>
                <w:color w:val="auto"/>
              </w:rPr>
              <w:t>on which registered</w:t>
            </w:r>
          </w:p>
        </w:tc>
      </w:tr>
      <w:tr>
        <w:trPr>
          <w:trHeight w:val="215"/>
        </w:trPr>
        <w:tc>
          <w:tcPr>
            <w:tcW w:w="3880" w:type="dxa"/>
            <w:vAlign w:val="bottom"/>
          </w:tcPr>
          <w:p>
            <w:pPr>
              <w:jc w:val="center"/>
              <w:ind w:right="839"/>
              <w:spacing w:after="0"/>
              <w:rPr>
                <w:sz w:val="20"/>
                <w:szCs w:val="20"/>
                <w:color w:val="auto"/>
              </w:rPr>
            </w:pPr>
            <w:r>
              <w:rPr>
                <w:rFonts w:ascii="Arial" w:cs="Arial" w:eastAsia="Arial" w:hAnsi="Arial"/>
                <w:sz w:val="16"/>
                <w:szCs w:val="16"/>
                <w:color w:val="auto"/>
              </w:rPr>
              <w:t>Common Stock, $.01 par value per share</w:t>
            </w:r>
          </w:p>
        </w:tc>
        <w:tc>
          <w:tcPr>
            <w:tcW w:w="2880" w:type="dxa"/>
            <w:vAlign w:val="bottom"/>
          </w:tcPr>
          <w:p>
            <w:pPr>
              <w:jc w:val="center"/>
              <w:ind w:right="179"/>
              <w:spacing w:after="0"/>
              <w:rPr>
                <w:sz w:val="20"/>
                <w:szCs w:val="20"/>
                <w:color w:val="auto"/>
              </w:rPr>
            </w:pPr>
            <w:r>
              <w:rPr>
                <w:rFonts w:ascii="Arial" w:cs="Arial" w:eastAsia="Arial" w:hAnsi="Arial"/>
                <w:sz w:val="16"/>
                <w:szCs w:val="16"/>
                <w:color w:val="auto"/>
              </w:rPr>
              <w:t>INVX</w:t>
            </w:r>
          </w:p>
        </w:tc>
        <w:tc>
          <w:tcPr>
            <w:tcW w:w="3100" w:type="dxa"/>
            <w:vAlign w:val="bottom"/>
          </w:tcPr>
          <w:p>
            <w:pPr>
              <w:jc w:val="center"/>
              <w:ind w:left="1099"/>
              <w:spacing w:after="0"/>
              <w:rPr>
                <w:sz w:val="20"/>
                <w:szCs w:val="20"/>
                <w:color w:val="auto"/>
              </w:rPr>
            </w:pPr>
            <w:r>
              <w:rPr>
                <w:rFonts w:ascii="Arial" w:cs="Arial" w:eastAsia="Arial" w:hAnsi="Arial"/>
                <w:sz w:val="16"/>
                <w:szCs w:val="16"/>
                <w:color w:val="auto"/>
              </w:rPr>
              <w:t>New York Stock Exchange</w:t>
            </w:r>
          </w:p>
        </w:tc>
      </w:tr>
    </w:tbl>
    <w:p>
      <w:pPr>
        <w:spacing w:after="0" w:line="13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ind w:left="420" w:hanging="36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55" w:lineRule="exact"/>
        <w:rPr>
          <w:rFonts w:ascii="MS PGothic" w:cs="MS PGothic" w:eastAsia="MS PGothic" w:hAnsi="MS PGothic"/>
          <w:sz w:val="18"/>
          <w:szCs w:val="18"/>
          <w:color w:val="auto"/>
        </w:rPr>
      </w:pPr>
    </w:p>
    <w:p>
      <w:pPr>
        <w:ind w:left="420" w:right="640" w:hanging="364"/>
        <w:spacing w:after="0" w:line="264"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June 15, 2026, Innovex International, Inc., a Delaware corporation (the “Company” or "Innovex"), entered into a Share Purchase Agreement (the “Purchase Agreement”) with Rieber &amp; Søn AS, a Norwegian private limited liability company (the “Seller”), pursuant to which the Company agreed to acquire from the Seller all of the issued shares (other than treasury shares) of TCO Group AS, a Norwegian private limited liability company (“TCO Group”). TCO Group is engaged in the development, manufacturing, and supply of equipment, tools, and related services to the oil and gas industry. TCO Group’s product offering includes completion barrier plugs, tubing-conveyed perforating services, chemical injection systems and annulus pressure relief systems. These products are used in well completion and testing, perforation services, targeted downhole chemical delivery and automatic relief of trapped pressure between casing strings.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aggregate purchase price (the “Purchase Price”) is equal to the Norwegian krone equivalent of approximately $95 million. The Purchase Price is comprised of the following components: (i) $30 million in newly-issued shares (the “Consideration Shares”) of the Company’s common stock, par value $0.01 per share (the “Common Stock”), with the newly-issued shares priced based on the average of the volume weighted average trading prices (“VWAP”) of the Common Stock on the New York Stock Exchange for the fifteen trading days immediately preceding June 15, 2026, which is approximately $28.20, resulting in the issuance of approximately 1,063,829 Consideration Shares, and (ii) $65 million in cash, subject to certain adjustments. Closing of the transactions contemplated by the Purchase Agreement is expected to occur early in the third quarter of 2026, subject to customary closing conditions.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Seller and its wholly owned Singapore subsidiary, Rieber &amp; Son Pte. Ltd. (the designated recipient of the Consideration Shares) have agreed not to offer, sell or otherwise transfer any of the Consideration Shares for a period of six months after the closing date of the transactions contemplated by the Purchase Agreement, except that Consideration Shares may be transferred to a wholly owned subsidiary, provided that the transferee remains subject to the same lock-up restrictions and may not subsequently transfer the shares during the lock-up period.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fiscal year ended December 31, 2025, TCO Group’s revenue, operating income and net income were approximately $70 million, $16 million and $12 million, respectively, resulting in an 18% net income margin. TCO Group also had $12 million of cash flow from operations for the fiscal year ended December 31, 2025, and TCO Group’s capital expenditures were approximately $0.2 million and represented less than 1% of its revenue for that period.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fiscal year ended December 31, 2025, TCO Group had Adjusted EBITDA of $18 million, Adjusted EBITDA Margin of 25%, and Free Cash Flow of $11 million. The Company’s Transaction Return on Capital Employed (“Transaction ROCE”) for the acquisition is expected to be 14% based on TCO Group’s 2025 operating income of $16 million less tax expense of approximately $3 million divided by the $95 million Purchase Price.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transaction is expected to be approximately 13% accretive to Innovex’s Earnings Per Share (“EPS”), based on the approximate percentage increase in basic EPS of Innovex for the year ended December 31, 2025 as if the acquisition had occurred on January 1, 2025, which is calculated as the sum of net income for Innovex of approximately $83 million and TCO of approximately $12 million, in each case, for the year ended December 31, 2025, divided by 70,073,038, which is the sum of the basic weighted average number of Innovex’s shares outstanding for the year ended December 31, 2025 of 69,009,209 and the 1,063,829 Consideration Shares. The net income amounts do not give effect to costs, charges, synergies, or other similar items that could result from a combined company.The financial information of TCO Group included in this Current Report on Form 8 -K was converted from Norwegian kroner to U.S. dollars at an exchange ratio of 0.1056 representing the closing exchange rate as of June 11, 2026.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 of TCO Group</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Current Report on Form 8-K contains both financial measures prepared and presented in accordance with generally accepted accounting principles (“GAAP”) and non-GAAP financial measures, which are measurements of financial performance that are not prepared and presented in accordance with GAAP. Adjusted EBITDA, Adjusted EBITDA Margin, Free Cash Flow and Transaction ROCE are non-GAAP financial measures of TCO Group. These non-GAAP financial measures should not be construed as being more important than the comparable GAAP measures. The Company’s management uses TCO’s non-GAAP financial measures to evaluate results of operations of TCO Group and believes they provide investors with additional information useful for evaluating the acquisition of TCO Group. These non-GAAP financial measures have limitations as analytical tools and should not be considered in isolation, or as a substitute for analysis of results of operations as reported in accordance with GAAP. In addition, because not all companies use identical calculations, the non-GAAP financial measures included in this Current Report on Form 8-K may not be comparable to similarly titled measures disclosed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jc w:val="both"/>
        <w:spacing w:after="0" w:line="244" w:lineRule="auto"/>
        <w:rPr>
          <w:sz w:val="20"/>
          <w:szCs w:val="20"/>
          <w:color w:val="auto"/>
        </w:rPr>
      </w:pPr>
      <w:r>
        <w:rPr>
          <w:rFonts w:ascii="Arial" w:cs="Arial" w:eastAsia="Arial" w:hAnsi="Arial"/>
          <w:sz w:val="18"/>
          <w:szCs w:val="18"/>
          <w:color w:val="auto"/>
        </w:rPr>
        <w:t>Adjusted EBITDA is defined as net income or loss before net interest expense or income, income tax expense or benefit, depreciation and amortization and other expense or income, further adjusted to exclude certain items that the Company believes are not reflective of ongoing performance or that are non -cash in nature. Adjusted EBITDA Margin is calculated as Adjusted EBITDA divided by revenue. Free Cash Flow is defined as cash provided by operations less capital expenditures. Transaction ROCE is defined as TCO Group’s 2025 operating income less TCO Group’s 2025 tax expense, divided by the Purchase Price.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Reconciliations of TCO Group’s Adjusted EBITDA to net income, Adjusted EBITDA Margin to net income margin, Free Cash Flow to net cash provided by operating activities, and Transaction ROCE to operating income are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80" w:type="dxa"/>
            <w:vAlign w:val="bottom"/>
          </w:tcPr>
          <w:p>
            <w:pPr>
              <w:spacing w:after="0"/>
              <w:rPr>
                <w:sz w:val="20"/>
                <w:szCs w:val="20"/>
                <w:color w:val="auto"/>
              </w:rPr>
            </w:pPr>
            <w:r>
              <w:rPr>
                <w:rFonts w:ascii="Arial" w:cs="Arial" w:eastAsia="Arial" w:hAnsi="Arial"/>
                <w:sz w:val="18"/>
                <w:szCs w:val="18"/>
                <w:i w:val="1"/>
                <w:iCs w:val="1"/>
                <w:color w:val="auto"/>
              </w:rPr>
              <w:t>TCO Group Reconciliation of Net Income to Adjusted EBITDA</w:t>
            </w:r>
          </w:p>
        </w:tc>
        <w:tc>
          <w:tcPr>
            <w:tcW w:w="1980" w:type="dxa"/>
            <w:vAlign w:val="bottom"/>
          </w:tcPr>
          <w:p>
            <w:pPr>
              <w:spacing w:after="0"/>
              <w:rPr>
                <w:sz w:val="20"/>
                <w:szCs w:val="20"/>
                <w:color w:val="auto"/>
              </w:rPr>
            </w:pPr>
          </w:p>
        </w:tc>
      </w:tr>
      <w:tr>
        <w:trPr>
          <w:trHeight w:val="407"/>
        </w:trPr>
        <w:tc>
          <w:tcPr>
            <w:tcW w:w="5780" w:type="dxa"/>
            <w:vAlign w:val="bottom"/>
          </w:tcPr>
          <w:p>
            <w:pPr>
              <w:ind w:left="140"/>
              <w:spacing w:after="0"/>
              <w:rPr>
                <w:sz w:val="20"/>
                <w:szCs w:val="20"/>
                <w:color w:val="auto"/>
              </w:rPr>
            </w:pPr>
            <w:r>
              <w:rPr>
                <w:rFonts w:ascii="Arial" w:cs="Arial" w:eastAsia="Arial" w:hAnsi="Arial"/>
                <w:sz w:val="18"/>
                <w:szCs w:val="18"/>
                <w:b w:val="1"/>
                <w:bCs w:val="1"/>
                <w:color w:val="auto"/>
              </w:rPr>
              <w:t>($ in millions)</w:t>
            </w:r>
          </w:p>
        </w:tc>
        <w:tc>
          <w:tcPr>
            <w:tcW w:w="19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2025</w:t>
            </w:r>
          </w:p>
        </w:tc>
      </w:tr>
      <w:tr>
        <w:trPr>
          <w:trHeight w:val="271"/>
        </w:trPr>
        <w:tc>
          <w:tcPr>
            <w:tcW w:w="5780" w:type="dxa"/>
            <w:vAlign w:val="bottom"/>
            <w:tcBorders>
              <w:bottom w:val="single" w:sz="8" w:color="E7E6E6"/>
            </w:tcBorders>
            <w:shd w:val="clear" w:color="auto" w:fill="E7E6E6"/>
          </w:tcPr>
          <w:p>
            <w:pPr>
              <w:ind w:left="140"/>
              <w:spacing w:after="0"/>
              <w:rPr>
                <w:sz w:val="20"/>
                <w:szCs w:val="20"/>
                <w:color w:val="auto"/>
              </w:rPr>
            </w:pPr>
            <w:r>
              <w:rPr>
                <w:rFonts w:ascii="Arial" w:cs="Arial" w:eastAsia="Arial" w:hAnsi="Arial"/>
                <w:sz w:val="18"/>
                <w:szCs w:val="18"/>
                <w:color w:val="auto"/>
              </w:rPr>
              <w:t>Revenue</w:t>
            </w:r>
          </w:p>
        </w:tc>
        <w:tc>
          <w:tcPr>
            <w:tcW w:w="1980" w:type="dxa"/>
            <w:vAlign w:val="bottom"/>
            <w:tcBorders>
              <w:bottom w:val="single" w:sz="8" w:color="E7E6E6"/>
            </w:tcBorders>
            <w:shd w:val="clear" w:color="auto" w:fill="E7E6E6"/>
          </w:tcPr>
          <w:p>
            <w:pPr>
              <w:jc w:val="center"/>
              <w:ind w:left="90"/>
              <w:spacing w:after="0"/>
              <w:rPr>
                <w:sz w:val="20"/>
                <w:szCs w:val="20"/>
                <w:color w:val="auto"/>
              </w:rPr>
            </w:pPr>
            <w:r>
              <w:rPr>
                <w:rFonts w:ascii="Arial" w:cs="Arial" w:eastAsia="Arial" w:hAnsi="Arial"/>
                <w:sz w:val="18"/>
                <w:szCs w:val="18"/>
                <w:color w:val="auto"/>
                <w:w w:val="97"/>
              </w:rPr>
              <w:t>$70.0</w:t>
            </w:r>
          </w:p>
        </w:tc>
      </w:tr>
      <w:tr>
        <w:trPr>
          <w:trHeight w:val="283"/>
        </w:trPr>
        <w:tc>
          <w:tcPr>
            <w:tcW w:w="57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64"/>
        </w:trPr>
        <w:tc>
          <w:tcPr>
            <w:tcW w:w="5780" w:type="dxa"/>
            <w:vAlign w:val="bottom"/>
            <w:tcBorders>
              <w:bottom w:val="single" w:sz="8" w:color="E7E6E6"/>
            </w:tcBorders>
            <w:shd w:val="clear" w:color="auto" w:fill="E7E6E6"/>
          </w:tcPr>
          <w:p>
            <w:pPr>
              <w:ind w:left="140"/>
              <w:spacing w:after="0"/>
              <w:rPr>
                <w:sz w:val="20"/>
                <w:szCs w:val="20"/>
                <w:color w:val="auto"/>
              </w:rPr>
            </w:pPr>
            <w:r>
              <w:rPr>
                <w:rFonts w:ascii="Arial" w:cs="Arial" w:eastAsia="Arial" w:hAnsi="Arial"/>
                <w:sz w:val="18"/>
                <w:szCs w:val="18"/>
                <w:color w:val="auto"/>
              </w:rPr>
              <w:t>Net Income</w:t>
            </w:r>
          </w:p>
        </w:tc>
        <w:tc>
          <w:tcPr>
            <w:tcW w:w="1980" w:type="dxa"/>
            <w:vAlign w:val="bottom"/>
            <w:tcBorders>
              <w:bottom w:val="single" w:sz="8" w:color="E7E6E6"/>
            </w:tcBorders>
            <w:shd w:val="clear" w:color="auto" w:fill="E7E6E6"/>
          </w:tcPr>
          <w:p>
            <w:pPr>
              <w:jc w:val="center"/>
              <w:ind w:left="90"/>
              <w:spacing w:after="0"/>
              <w:rPr>
                <w:sz w:val="20"/>
                <w:szCs w:val="20"/>
                <w:color w:val="auto"/>
              </w:rPr>
            </w:pPr>
            <w:r>
              <w:rPr>
                <w:rFonts w:ascii="Arial" w:cs="Arial" w:eastAsia="Arial" w:hAnsi="Arial"/>
                <w:sz w:val="18"/>
                <w:szCs w:val="18"/>
                <w:color w:val="auto"/>
                <w:w w:val="97"/>
              </w:rPr>
              <w:t>$12.4</w:t>
            </w:r>
          </w:p>
        </w:tc>
      </w:tr>
      <w:tr>
        <w:trPr>
          <w:trHeight w:val="261"/>
        </w:trPr>
        <w:tc>
          <w:tcPr>
            <w:tcW w:w="5780" w:type="dxa"/>
            <w:vAlign w:val="bottom"/>
          </w:tcPr>
          <w:p>
            <w:pPr>
              <w:ind w:left="140"/>
              <w:spacing w:after="0"/>
              <w:rPr>
                <w:sz w:val="20"/>
                <w:szCs w:val="20"/>
                <w:color w:val="auto"/>
              </w:rPr>
            </w:pPr>
            <w:r>
              <w:rPr>
                <w:rFonts w:ascii="Arial" w:cs="Arial" w:eastAsia="Arial" w:hAnsi="Arial"/>
                <w:sz w:val="18"/>
                <w:szCs w:val="18"/>
                <w:color w:val="auto"/>
              </w:rPr>
              <w:t>(+) Net Interest Expense</w:t>
            </w:r>
          </w:p>
        </w:tc>
        <w:tc>
          <w:tcPr>
            <w:tcW w:w="1980" w:type="dxa"/>
            <w:vAlign w:val="bottom"/>
          </w:tcPr>
          <w:p>
            <w:pPr>
              <w:jc w:val="center"/>
              <w:ind w:left="90"/>
              <w:spacing w:after="0"/>
              <w:rPr>
                <w:sz w:val="20"/>
                <w:szCs w:val="20"/>
                <w:color w:val="auto"/>
              </w:rPr>
            </w:pPr>
            <w:r>
              <w:rPr>
                <w:rFonts w:ascii="Arial" w:cs="Arial" w:eastAsia="Arial" w:hAnsi="Arial"/>
                <w:sz w:val="18"/>
                <w:szCs w:val="18"/>
                <w:color w:val="auto"/>
                <w:w w:val="95"/>
              </w:rPr>
              <w:t>0.6</w:t>
            </w:r>
          </w:p>
        </w:tc>
      </w:tr>
      <w:tr>
        <w:trPr>
          <w:trHeight w:val="23"/>
        </w:trPr>
        <w:tc>
          <w:tcPr>
            <w:tcW w:w="57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3"/>
        </w:trPr>
        <w:tc>
          <w:tcPr>
            <w:tcW w:w="5780" w:type="dxa"/>
            <w:vAlign w:val="bottom"/>
            <w:tcBorders>
              <w:bottom w:val="single" w:sz="8" w:color="E7E6E6"/>
            </w:tcBorders>
            <w:shd w:val="clear" w:color="auto" w:fill="E7E6E6"/>
          </w:tcPr>
          <w:p>
            <w:pPr>
              <w:ind w:left="140"/>
              <w:spacing w:after="0"/>
              <w:rPr>
                <w:sz w:val="20"/>
                <w:szCs w:val="20"/>
                <w:color w:val="auto"/>
              </w:rPr>
            </w:pPr>
            <w:r>
              <w:rPr>
                <w:rFonts w:ascii="Arial" w:cs="Arial" w:eastAsia="Arial" w:hAnsi="Arial"/>
                <w:sz w:val="18"/>
                <w:szCs w:val="18"/>
                <w:color w:val="auto"/>
              </w:rPr>
              <w:t>(+) Income Tax Provision</w:t>
            </w:r>
          </w:p>
        </w:tc>
        <w:tc>
          <w:tcPr>
            <w:tcW w:w="1980" w:type="dxa"/>
            <w:vAlign w:val="bottom"/>
            <w:tcBorders>
              <w:bottom w:val="single" w:sz="8" w:color="E7E6E6"/>
            </w:tcBorders>
            <w:shd w:val="clear" w:color="auto" w:fill="E7E6E6"/>
          </w:tcPr>
          <w:p>
            <w:pPr>
              <w:jc w:val="center"/>
              <w:ind w:left="90"/>
              <w:spacing w:after="0"/>
              <w:rPr>
                <w:sz w:val="20"/>
                <w:szCs w:val="20"/>
                <w:color w:val="auto"/>
              </w:rPr>
            </w:pPr>
            <w:r>
              <w:rPr>
                <w:rFonts w:ascii="Arial" w:cs="Arial" w:eastAsia="Arial" w:hAnsi="Arial"/>
                <w:sz w:val="18"/>
                <w:szCs w:val="18"/>
                <w:color w:val="auto"/>
                <w:w w:val="95"/>
              </w:rPr>
              <w:t>3.4</w:t>
            </w:r>
          </w:p>
        </w:tc>
      </w:tr>
      <w:tr>
        <w:trPr>
          <w:trHeight w:val="261"/>
        </w:trPr>
        <w:tc>
          <w:tcPr>
            <w:tcW w:w="5780" w:type="dxa"/>
            <w:vAlign w:val="bottom"/>
          </w:tcPr>
          <w:p>
            <w:pPr>
              <w:ind w:left="140"/>
              <w:spacing w:after="0"/>
              <w:rPr>
                <w:sz w:val="20"/>
                <w:szCs w:val="20"/>
                <w:color w:val="auto"/>
              </w:rPr>
            </w:pPr>
            <w:r>
              <w:rPr>
                <w:rFonts w:ascii="Arial" w:cs="Arial" w:eastAsia="Arial" w:hAnsi="Arial"/>
                <w:sz w:val="18"/>
                <w:szCs w:val="18"/>
                <w:color w:val="auto"/>
              </w:rPr>
              <w:t>(+) Depreciation and Amortization Expense</w:t>
            </w:r>
          </w:p>
        </w:tc>
        <w:tc>
          <w:tcPr>
            <w:tcW w:w="1980" w:type="dxa"/>
            <w:vAlign w:val="bottom"/>
          </w:tcPr>
          <w:p>
            <w:pPr>
              <w:jc w:val="center"/>
              <w:ind w:left="90"/>
              <w:spacing w:after="0"/>
              <w:rPr>
                <w:sz w:val="20"/>
                <w:szCs w:val="20"/>
                <w:color w:val="auto"/>
              </w:rPr>
            </w:pPr>
            <w:r>
              <w:rPr>
                <w:rFonts w:ascii="Arial" w:cs="Arial" w:eastAsia="Arial" w:hAnsi="Arial"/>
                <w:sz w:val="18"/>
                <w:szCs w:val="18"/>
                <w:color w:val="auto"/>
                <w:w w:val="95"/>
              </w:rPr>
              <w:t>0.5</w:t>
            </w:r>
          </w:p>
        </w:tc>
      </w:tr>
      <w:tr>
        <w:trPr>
          <w:trHeight w:val="23"/>
        </w:trPr>
        <w:tc>
          <w:tcPr>
            <w:tcW w:w="57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3"/>
        </w:trPr>
        <w:tc>
          <w:tcPr>
            <w:tcW w:w="5780" w:type="dxa"/>
            <w:vAlign w:val="bottom"/>
            <w:tcBorders>
              <w:bottom w:val="single" w:sz="8" w:color="E7E6E6"/>
            </w:tcBorders>
            <w:shd w:val="clear" w:color="auto" w:fill="E7E6E6"/>
          </w:tcPr>
          <w:p>
            <w:pPr>
              <w:ind w:left="140"/>
              <w:spacing w:after="0"/>
              <w:rPr>
                <w:sz w:val="20"/>
                <w:szCs w:val="20"/>
                <w:color w:val="auto"/>
              </w:rPr>
            </w:pPr>
            <w:r>
              <w:rPr>
                <w:rFonts w:ascii="Arial" w:cs="Arial" w:eastAsia="Arial" w:hAnsi="Arial"/>
                <w:sz w:val="18"/>
                <w:szCs w:val="18"/>
                <w:color w:val="auto"/>
              </w:rPr>
              <w:t>(-) Other Expense</w:t>
            </w:r>
          </w:p>
        </w:tc>
        <w:tc>
          <w:tcPr>
            <w:tcW w:w="1980" w:type="dxa"/>
            <w:vAlign w:val="bottom"/>
            <w:tcBorders>
              <w:bottom w:val="single" w:sz="8" w:color="E7E6E6"/>
            </w:tcBorders>
            <w:shd w:val="clear" w:color="auto" w:fill="E7E6E6"/>
          </w:tcPr>
          <w:p>
            <w:pPr>
              <w:jc w:val="center"/>
              <w:ind w:left="90"/>
              <w:spacing w:after="0"/>
              <w:rPr>
                <w:sz w:val="20"/>
                <w:szCs w:val="20"/>
                <w:color w:val="auto"/>
              </w:rPr>
            </w:pPr>
            <w:r>
              <w:rPr>
                <w:rFonts w:ascii="Arial" w:cs="Arial" w:eastAsia="Arial" w:hAnsi="Arial"/>
                <w:sz w:val="18"/>
                <w:szCs w:val="18"/>
                <w:color w:val="auto"/>
                <w:w w:val="95"/>
              </w:rPr>
              <w:t>0.0</w:t>
            </w:r>
          </w:p>
        </w:tc>
      </w:tr>
      <w:tr>
        <w:trPr>
          <w:trHeight w:val="261"/>
        </w:trPr>
        <w:tc>
          <w:tcPr>
            <w:tcW w:w="5780" w:type="dxa"/>
            <w:vAlign w:val="bottom"/>
          </w:tcPr>
          <w:p>
            <w:pPr>
              <w:ind w:left="140"/>
              <w:spacing w:after="0"/>
              <w:rPr>
                <w:sz w:val="20"/>
                <w:szCs w:val="20"/>
                <w:color w:val="auto"/>
              </w:rPr>
            </w:pPr>
            <w:r>
              <w:rPr>
                <w:rFonts w:ascii="Arial" w:cs="Arial" w:eastAsia="Arial" w:hAnsi="Arial"/>
                <w:sz w:val="18"/>
                <w:szCs w:val="18"/>
                <w:color w:val="auto"/>
              </w:rPr>
              <w:t>(+) Non-Recurring Expenses</w:t>
            </w:r>
          </w:p>
        </w:tc>
        <w:tc>
          <w:tcPr>
            <w:tcW w:w="1980" w:type="dxa"/>
            <w:vAlign w:val="bottom"/>
          </w:tcPr>
          <w:p>
            <w:pPr>
              <w:jc w:val="center"/>
              <w:ind w:left="90"/>
              <w:spacing w:after="0"/>
              <w:rPr>
                <w:sz w:val="20"/>
                <w:szCs w:val="20"/>
                <w:color w:val="auto"/>
              </w:rPr>
            </w:pPr>
            <w:r>
              <w:rPr>
                <w:rFonts w:ascii="Arial" w:cs="Arial" w:eastAsia="Arial" w:hAnsi="Arial"/>
                <w:sz w:val="18"/>
                <w:szCs w:val="18"/>
                <w:color w:val="auto"/>
                <w:w w:val="95"/>
              </w:rPr>
              <w:t>0.7</w:t>
            </w:r>
          </w:p>
        </w:tc>
      </w:tr>
      <w:tr>
        <w:trPr>
          <w:trHeight w:val="23"/>
        </w:trPr>
        <w:tc>
          <w:tcPr>
            <w:tcW w:w="57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83"/>
        </w:trPr>
        <w:tc>
          <w:tcPr>
            <w:tcW w:w="5780" w:type="dxa"/>
            <w:vAlign w:val="bottom"/>
            <w:shd w:val="clear" w:color="auto" w:fill="E7E6E6"/>
          </w:tcPr>
          <w:p>
            <w:pPr>
              <w:ind w:left="140"/>
              <w:spacing w:after="0"/>
              <w:rPr>
                <w:sz w:val="20"/>
                <w:szCs w:val="20"/>
                <w:color w:val="auto"/>
              </w:rPr>
            </w:pPr>
            <w:r>
              <w:rPr>
                <w:rFonts w:ascii="Arial" w:cs="Arial" w:eastAsia="Arial" w:hAnsi="Arial"/>
                <w:sz w:val="18"/>
                <w:szCs w:val="18"/>
                <w:b w:val="1"/>
                <w:bCs w:val="1"/>
                <w:color w:val="auto"/>
              </w:rPr>
              <w:t>Adjusted EBITDA</w:t>
            </w:r>
          </w:p>
        </w:tc>
        <w:tc>
          <w:tcPr>
            <w:tcW w:w="1980" w:type="dxa"/>
            <w:vAlign w:val="bottom"/>
            <w:shd w:val="clear" w:color="auto" w:fill="E7E6E6"/>
          </w:tcPr>
          <w:p>
            <w:pPr>
              <w:jc w:val="center"/>
              <w:ind w:left="90"/>
              <w:spacing w:after="0"/>
              <w:rPr>
                <w:sz w:val="20"/>
                <w:szCs w:val="20"/>
                <w:color w:val="auto"/>
              </w:rPr>
            </w:pPr>
            <w:r>
              <w:rPr>
                <w:rFonts w:ascii="Arial" w:cs="Arial" w:eastAsia="Arial" w:hAnsi="Arial"/>
                <w:sz w:val="18"/>
                <w:szCs w:val="18"/>
                <w:b w:val="1"/>
                <w:bCs w:val="1"/>
                <w:color w:val="auto"/>
                <w:w w:val="97"/>
              </w:rPr>
              <w:t>$17.6</w:t>
            </w:r>
          </w:p>
        </w:tc>
      </w:tr>
      <w:tr>
        <w:trPr>
          <w:trHeight w:val="276"/>
        </w:trPr>
        <w:tc>
          <w:tcPr>
            <w:tcW w:w="5780" w:type="dxa"/>
            <w:vAlign w:val="bottom"/>
          </w:tcPr>
          <w:p>
            <w:pPr>
              <w:ind w:left="140"/>
              <w:spacing w:after="0"/>
              <w:rPr>
                <w:sz w:val="20"/>
                <w:szCs w:val="20"/>
                <w:color w:val="auto"/>
              </w:rPr>
            </w:pPr>
            <w:r>
              <w:rPr>
                <w:rFonts w:ascii="Arial" w:cs="Arial" w:eastAsia="Arial" w:hAnsi="Arial"/>
                <w:sz w:val="18"/>
                <w:szCs w:val="18"/>
                <w:b w:val="1"/>
                <w:bCs w:val="1"/>
                <w:color w:val="auto"/>
              </w:rPr>
              <w:t>Net Income Margin %</w:t>
            </w:r>
          </w:p>
        </w:tc>
        <w:tc>
          <w:tcPr>
            <w:tcW w:w="19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18%</w:t>
            </w:r>
          </w:p>
        </w:tc>
      </w:tr>
      <w:tr>
        <w:trPr>
          <w:trHeight w:val="291"/>
        </w:trPr>
        <w:tc>
          <w:tcPr>
            <w:tcW w:w="5780" w:type="dxa"/>
            <w:vAlign w:val="bottom"/>
            <w:shd w:val="clear" w:color="auto" w:fill="E7E6E6"/>
          </w:tcPr>
          <w:p>
            <w:pPr>
              <w:ind w:left="140"/>
              <w:spacing w:after="0"/>
              <w:rPr>
                <w:sz w:val="20"/>
                <w:szCs w:val="20"/>
                <w:color w:val="auto"/>
              </w:rPr>
            </w:pPr>
            <w:r>
              <w:rPr>
                <w:rFonts w:ascii="Arial" w:cs="Arial" w:eastAsia="Arial" w:hAnsi="Arial"/>
                <w:sz w:val="18"/>
                <w:szCs w:val="18"/>
                <w:b w:val="1"/>
                <w:bCs w:val="1"/>
                <w:color w:val="auto"/>
              </w:rPr>
              <w:t xml:space="preserve">Adjusted EBITDA Margin % </w:t>
            </w:r>
            <w:r>
              <w:rPr>
                <w:rFonts w:ascii="Arial" w:cs="Arial" w:eastAsia="Arial" w:hAnsi="Arial"/>
                <w:sz w:val="24"/>
                <w:szCs w:val="24"/>
                <w:b w:val="1"/>
                <w:bCs w:val="1"/>
                <w:color w:val="auto"/>
                <w:vertAlign w:val="superscript"/>
              </w:rPr>
              <w:t>(1)</w:t>
            </w:r>
          </w:p>
        </w:tc>
        <w:tc>
          <w:tcPr>
            <w:tcW w:w="1980" w:type="dxa"/>
            <w:vAlign w:val="bottom"/>
            <w:shd w:val="clear" w:color="auto" w:fill="E7E6E6"/>
          </w:tcPr>
          <w:p>
            <w:pPr>
              <w:jc w:val="center"/>
              <w:ind w:left="90"/>
              <w:spacing w:after="0"/>
              <w:rPr>
                <w:sz w:val="20"/>
                <w:szCs w:val="20"/>
                <w:color w:val="auto"/>
              </w:rPr>
            </w:pPr>
            <w:r>
              <w:rPr>
                <w:rFonts w:ascii="Arial" w:cs="Arial" w:eastAsia="Arial" w:hAnsi="Arial"/>
                <w:sz w:val="18"/>
                <w:szCs w:val="18"/>
                <w:b w:val="1"/>
                <w:bCs w:val="1"/>
                <w:color w:val="auto"/>
                <w:w w:val="99"/>
              </w:rPr>
              <w:t>25%</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Note: TCO reported financials converted from NOK to USD at an exchange ratio of 0.1056</w:t>
      </w:r>
    </w:p>
    <w:p>
      <w:pPr>
        <w:spacing w:after="0" w:line="2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Underlying calculation is not rounded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TCO Group Reconciliation of Net Cash Provided by Operating Activities to Free Cash Flow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480" w:type="dxa"/>
            <w:vAlign w:val="bottom"/>
          </w:tcPr>
          <w:p>
            <w:pPr>
              <w:ind w:left="140"/>
              <w:spacing w:after="0"/>
              <w:rPr>
                <w:sz w:val="20"/>
                <w:szCs w:val="20"/>
                <w:color w:val="auto"/>
              </w:rPr>
            </w:pPr>
            <w:r>
              <w:rPr>
                <w:rFonts w:ascii="Arial" w:cs="Arial" w:eastAsia="Arial" w:hAnsi="Arial"/>
                <w:sz w:val="18"/>
                <w:szCs w:val="18"/>
                <w:b w:val="1"/>
                <w:bCs w:val="1"/>
                <w:color w:val="auto"/>
              </w:rPr>
              <w:t>($ in millions)</w:t>
            </w:r>
          </w:p>
        </w:tc>
        <w:tc>
          <w:tcPr>
            <w:tcW w:w="328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2025</w:t>
            </w:r>
          </w:p>
        </w:tc>
      </w:tr>
      <w:tr>
        <w:trPr>
          <w:trHeight w:val="271"/>
        </w:trPr>
        <w:tc>
          <w:tcPr>
            <w:tcW w:w="4480" w:type="dxa"/>
            <w:vAlign w:val="bottom"/>
            <w:tcBorders>
              <w:bottom w:val="single" w:sz="8" w:color="E7E6E6"/>
            </w:tcBorders>
            <w:shd w:val="clear" w:color="auto" w:fill="E7E6E6"/>
          </w:tcPr>
          <w:p>
            <w:pPr>
              <w:ind w:left="140"/>
              <w:spacing w:after="0"/>
              <w:rPr>
                <w:sz w:val="20"/>
                <w:szCs w:val="20"/>
                <w:color w:val="auto"/>
              </w:rPr>
            </w:pPr>
            <w:r>
              <w:rPr>
                <w:rFonts w:ascii="Arial" w:cs="Arial" w:eastAsia="Arial" w:hAnsi="Arial"/>
                <w:sz w:val="18"/>
                <w:szCs w:val="18"/>
                <w:color w:val="auto"/>
              </w:rPr>
              <w:t>Cash Flow from Operations</w:t>
            </w:r>
          </w:p>
        </w:tc>
        <w:tc>
          <w:tcPr>
            <w:tcW w:w="3280" w:type="dxa"/>
            <w:vAlign w:val="bottom"/>
            <w:tcBorders>
              <w:bottom w:val="single" w:sz="8" w:color="E7E6E6"/>
            </w:tcBorders>
            <w:shd w:val="clear" w:color="auto" w:fill="E7E6E6"/>
          </w:tcPr>
          <w:p>
            <w:pPr>
              <w:jc w:val="center"/>
              <w:ind w:left="1390"/>
              <w:spacing w:after="0"/>
              <w:rPr>
                <w:sz w:val="20"/>
                <w:szCs w:val="20"/>
                <w:color w:val="auto"/>
              </w:rPr>
            </w:pPr>
            <w:r>
              <w:rPr>
                <w:rFonts w:ascii="Arial" w:cs="Arial" w:eastAsia="Arial" w:hAnsi="Arial"/>
                <w:sz w:val="18"/>
                <w:szCs w:val="18"/>
                <w:color w:val="auto"/>
                <w:w w:val="97"/>
              </w:rPr>
              <w:t>$11.7</w:t>
            </w:r>
          </w:p>
        </w:tc>
      </w:tr>
      <w:tr>
        <w:trPr>
          <w:trHeight w:val="260"/>
        </w:trPr>
        <w:tc>
          <w:tcPr>
            <w:tcW w:w="4480" w:type="dxa"/>
            <w:vAlign w:val="bottom"/>
          </w:tcPr>
          <w:p>
            <w:pPr>
              <w:ind w:left="140"/>
              <w:spacing w:after="0"/>
              <w:rPr>
                <w:sz w:val="20"/>
                <w:szCs w:val="20"/>
                <w:color w:val="auto"/>
              </w:rPr>
            </w:pPr>
            <w:r>
              <w:rPr>
                <w:rFonts w:ascii="Arial" w:cs="Arial" w:eastAsia="Arial" w:hAnsi="Arial"/>
                <w:sz w:val="18"/>
                <w:szCs w:val="18"/>
                <w:color w:val="auto"/>
              </w:rPr>
              <w:t>(-) Capital Expenditures</w:t>
            </w:r>
          </w:p>
        </w:tc>
        <w:tc>
          <w:tcPr>
            <w:tcW w:w="3280" w:type="dxa"/>
            <w:vAlign w:val="bottom"/>
          </w:tcPr>
          <w:p>
            <w:pPr>
              <w:jc w:val="center"/>
              <w:ind w:left="1390"/>
              <w:spacing w:after="0"/>
              <w:rPr>
                <w:sz w:val="20"/>
                <w:szCs w:val="20"/>
                <w:color w:val="auto"/>
              </w:rPr>
            </w:pPr>
            <w:r>
              <w:rPr>
                <w:rFonts w:ascii="Arial" w:cs="Arial" w:eastAsia="Arial" w:hAnsi="Arial"/>
                <w:sz w:val="18"/>
                <w:szCs w:val="18"/>
                <w:color w:val="auto"/>
                <w:w w:val="97"/>
              </w:rPr>
              <w:t>(0.2)</w:t>
            </w:r>
          </w:p>
        </w:tc>
      </w:tr>
      <w:tr>
        <w:trPr>
          <w:trHeight w:val="23"/>
        </w:trPr>
        <w:tc>
          <w:tcPr>
            <w:tcW w:w="448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84"/>
        </w:trPr>
        <w:tc>
          <w:tcPr>
            <w:tcW w:w="4480" w:type="dxa"/>
            <w:vAlign w:val="bottom"/>
            <w:shd w:val="clear" w:color="auto" w:fill="E7E6E6"/>
          </w:tcPr>
          <w:p>
            <w:pPr>
              <w:ind w:left="14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4"/>
                <w:szCs w:val="24"/>
                <w:b w:val="1"/>
                <w:bCs w:val="1"/>
                <w:color w:val="auto"/>
                <w:vertAlign w:val="superscript"/>
              </w:rPr>
              <w:t>(1)</w:t>
            </w:r>
          </w:p>
        </w:tc>
        <w:tc>
          <w:tcPr>
            <w:tcW w:w="3280" w:type="dxa"/>
            <w:vAlign w:val="bottom"/>
            <w:shd w:val="clear" w:color="auto" w:fill="E7E6E6"/>
          </w:tcPr>
          <w:p>
            <w:pPr>
              <w:jc w:val="center"/>
              <w:ind w:left="1390"/>
              <w:spacing w:after="0"/>
              <w:rPr>
                <w:sz w:val="20"/>
                <w:szCs w:val="20"/>
                <w:color w:val="auto"/>
              </w:rPr>
            </w:pPr>
            <w:r>
              <w:rPr>
                <w:rFonts w:ascii="Arial" w:cs="Arial" w:eastAsia="Arial" w:hAnsi="Arial"/>
                <w:sz w:val="18"/>
                <w:szCs w:val="18"/>
                <w:b w:val="1"/>
                <w:bCs w:val="1"/>
                <w:color w:val="auto"/>
                <w:w w:val="97"/>
              </w:rPr>
              <w:t>$11.5</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Note: TCO reported financials converted from NOK to USD at an exchange ratio of 0.1056</w:t>
      </w:r>
    </w:p>
    <w:p>
      <w:pPr>
        <w:spacing w:after="0" w:line="36"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Underlying calculation is not rounded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00" w:type="dxa"/>
            <w:vAlign w:val="bottom"/>
          </w:tcPr>
          <w:p>
            <w:pPr>
              <w:spacing w:after="0"/>
              <w:rPr>
                <w:sz w:val="20"/>
                <w:szCs w:val="20"/>
                <w:color w:val="auto"/>
              </w:rPr>
            </w:pPr>
            <w:r>
              <w:rPr>
                <w:rFonts w:ascii="Arial" w:cs="Arial" w:eastAsia="Arial" w:hAnsi="Arial"/>
                <w:sz w:val="18"/>
                <w:szCs w:val="18"/>
                <w:i w:val="1"/>
                <w:iCs w:val="1"/>
                <w:color w:val="auto"/>
              </w:rPr>
              <w:t>TCO Group Reconciliation of Operating Income to Transaction ROCE</w:t>
            </w:r>
          </w:p>
        </w:tc>
        <w:tc>
          <w:tcPr>
            <w:tcW w:w="1660" w:type="dxa"/>
            <w:vAlign w:val="bottom"/>
          </w:tcPr>
          <w:p>
            <w:pPr>
              <w:spacing w:after="0"/>
              <w:rPr>
                <w:sz w:val="20"/>
                <w:szCs w:val="20"/>
                <w:color w:val="auto"/>
              </w:rPr>
            </w:pPr>
          </w:p>
        </w:tc>
      </w:tr>
      <w:tr>
        <w:trPr>
          <w:trHeight w:val="39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 in millions)</w:t>
            </w: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2025</w:t>
            </w:r>
          </w:p>
        </w:tc>
      </w:tr>
      <w:tr>
        <w:trPr>
          <w:trHeight w:val="271"/>
        </w:trPr>
        <w:tc>
          <w:tcPr>
            <w:tcW w:w="6100" w:type="dxa"/>
            <w:vAlign w:val="bottom"/>
            <w:tcBorders>
              <w:bottom w:val="single" w:sz="8" w:color="E7E6E6"/>
            </w:tcBorders>
            <w:shd w:val="clear" w:color="auto" w:fill="E7E6E6"/>
          </w:tcPr>
          <w:p>
            <w:pPr>
              <w:ind w:left="140"/>
              <w:spacing w:after="0"/>
              <w:rPr>
                <w:sz w:val="20"/>
                <w:szCs w:val="20"/>
                <w:color w:val="auto"/>
              </w:rPr>
            </w:pPr>
            <w:r>
              <w:rPr>
                <w:rFonts w:ascii="Arial" w:cs="Arial" w:eastAsia="Arial" w:hAnsi="Arial"/>
                <w:sz w:val="18"/>
                <w:szCs w:val="18"/>
                <w:color w:val="auto"/>
              </w:rPr>
              <w:t>Operating Income</w:t>
            </w:r>
          </w:p>
        </w:tc>
        <w:tc>
          <w:tcPr>
            <w:tcW w:w="1660" w:type="dxa"/>
            <w:vAlign w:val="bottom"/>
            <w:tcBorders>
              <w:bottom w:val="single" w:sz="8" w:color="E7E6E6"/>
            </w:tcBorders>
            <w:shd w:val="clear" w:color="auto" w:fill="E7E6E6"/>
          </w:tcPr>
          <w:p>
            <w:pPr>
              <w:jc w:val="center"/>
              <w:ind w:right="50"/>
              <w:spacing w:after="0"/>
              <w:rPr>
                <w:sz w:val="20"/>
                <w:szCs w:val="20"/>
                <w:color w:val="auto"/>
              </w:rPr>
            </w:pPr>
            <w:r>
              <w:rPr>
                <w:rFonts w:ascii="Arial" w:cs="Arial" w:eastAsia="Arial" w:hAnsi="Arial"/>
                <w:sz w:val="18"/>
                <w:szCs w:val="18"/>
                <w:color w:val="auto"/>
                <w:w w:val="97"/>
              </w:rPr>
              <w:t>$16.4</w:t>
            </w:r>
          </w:p>
        </w:tc>
      </w:tr>
      <w:tr>
        <w:trPr>
          <w:trHeight w:val="260"/>
        </w:trPr>
        <w:tc>
          <w:tcPr>
            <w:tcW w:w="6100" w:type="dxa"/>
            <w:vAlign w:val="bottom"/>
          </w:tcPr>
          <w:p>
            <w:pPr>
              <w:ind w:left="140"/>
              <w:spacing w:after="0"/>
              <w:rPr>
                <w:sz w:val="20"/>
                <w:szCs w:val="20"/>
                <w:color w:val="auto"/>
              </w:rPr>
            </w:pPr>
            <w:r>
              <w:rPr>
                <w:rFonts w:ascii="Arial" w:cs="Arial" w:eastAsia="Arial" w:hAnsi="Arial"/>
                <w:sz w:val="18"/>
                <w:szCs w:val="18"/>
                <w:color w:val="auto"/>
              </w:rPr>
              <w:t>(-) Tax Expense</w:t>
            </w:r>
          </w:p>
        </w:tc>
        <w:tc>
          <w:tcPr>
            <w:tcW w:w="1660" w:type="dxa"/>
            <w:vAlign w:val="bottom"/>
          </w:tcPr>
          <w:p>
            <w:pPr>
              <w:jc w:val="center"/>
              <w:ind w:right="50"/>
              <w:spacing w:after="0"/>
              <w:rPr>
                <w:sz w:val="20"/>
                <w:szCs w:val="20"/>
                <w:color w:val="auto"/>
              </w:rPr>
            </w:pPr>
            <w:r>
              <w:rPr>
                <w:rFonts w:ascii="Arial" w:cs="Arial" w:eastAsia="Arial" w:hAnsi="Arial"/>
                <w:sz w:val="18"/>
                <w:szCs w:val="18"/>
                <w:color w:val="auto"/>
                <w:w w:val="97"/>
              </w:rPr>
              <w:t>(3.4)</w:t>
            </w:r>
          </w:p>
        </w:tc>
      </w:tr>
      <w:tr>
        <w:trPr>
          <w:trHeight w:val="23"/>
        </w:trPr>
        <w:tc>
          <w:tcPr>
            <w:tcW w:w="6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83"/>
        </w:trPr>
        <w:tc>
          <w:tcPr>
            <w:tcW w:w="6100" w:type="dxa"/>
            <w:vAlign w:val="bottom"/>
            <w:shd w:val="clear" w:color="auto" w:fill="E7E6E6"/>
          </w:tcPr>
          <w:p>
            <w:pPr>
              <w:ind w:left="140"/>
              <w:spacing w:after="0"/>
              <w:rPr>
                <w:sz w:val="20"/>
                <w:szCs w:val="20"/>
                <w:color w:val="auto"/>
              </w:rPr>
            </w:pPr>
            <w:r>
              <w:rPr>
                <w:rFonts w:ascii="Arial" w:cs="Arial" w:eastAsia="Arial" w:hAnsi="Arial"/>
                <w:sz w:val="18"/>
                <w:szCs w:val="18"/>
                <w:b w:val="1"/>
                <w:bCs w:val="1"/>
                <w:color w:val="auto"/>
              </w:rPr>
              <w:t xml:space="preserve">Operating Income less Tax </w:t>
            </w:r>
            <w:r>
              <w:rPr>
                <w:rFonts w:ascii="Arial" w:cs="Arial" w:eastAsia="Arial" w:hAnsi="Arial"/>
                <w:sz w:val="24"/>
                <w:szCs w:val="24"/>
                <w:b w:val="1"/>
                <w:bCs w:val="1"/>
                <w:color w:val="auto"/>
                <w:vertAlign w:val="superscript"/>
              </w:rPr>
              <w:t>(1)</w:t>
            </w:r>
          </w:p>
        </w:tc>
        <w:tc>
          <w:tcPr>
            <w:tcW w:w="1660" w:type="dxa"/>
            <w:vAlign w:val="bottom"/>
            <w:shd w:val="clear" w:color="auto" w:fill="E7E6E6"/>
          </w:tcPr>
          <w:p>
            <w:pPr>
              <w:jc w:val="center"/>
              <w:ind w:right="50"/>
              <w:spacing w:after="0"/>
              <w:rPr>
                <w:sz w:val="20"/>
                <w:szCs w:val="20"/>
                <w:color w:val="auto"/>
              </w:rPr>
            </w:pPr>
            <w:r>
              <w:rPr>
                <w:rFonts w:ascii="Arial" w:cs="Arial" w:eastAsia="Arial" w:hAnsi="Arial"/>
                <w:sz w:val="18"/>
                <w:szCs w:val="18"/>
                <w:b w:val="1"/>
                <w:bCs w:val="1"/>
                <w:color w:val="auto"/>
                <w:w w:val="97"/>
              </w:rPr>
              <w:t>$13.0</w:t>
            </w:r>
          </w:p>
        </w:tc>
      </w:tr>
      <w:tr>
        <w:trPr>
          <w:trHeight w:val="260"/>
        </w:trPr>
        <w:tc>
          <w:tcPr>
            <w:tcW w:w="610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1660" w:type="dxa"/>
            <w:vAlign w:val="bottom"/>
          </w:tcPr>
          <w:p>
            <w:pPr>
              <w:jc w:val="center"/>
              <w:ind w:right="50"/>
              <w:spacing w:after="0"/>
              <w:rPr>
                <w:sz w:val="20"/>
                <w:szCs w:val="20"/>
                <w:color w:val="auto"/>
              </w:rPr>
            </w:pPr>
            <w:r>
              <w:rPr>
                <w:rFonts w:ascii="Arial" w:cs="Arial" w:eastAsia="Arial" w:hAnsi="Arial"/>
                <w:sz w:val="18"/>
                <w:szCs w:val="18"/>
                <w:color w:val="auto"/>
                <w:w w:val="97"/>
              </w:rPr>
              <w:t>$95.0</w:t>
            </w:r>
          </w:p>
        </w:tc>
      </w:tr>
      <w:tr>
        <w:trPr>
          <w:trHeight w:val="23"/>
        </w:trPr>
        <w:tc>
          <w:tcPr>
            <w:tcW w:w="6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83"/>
        </w:trPr>
        <w:tc>
          <w:tcPr>
            <w:tcW w:w="6100" w:type="dxa"/>
            <w:vAlign w:val="bottom"/>
            <w:shd w:val="clear" w:color="auto" w:fill="E7E6E6"/>
          </w:tcPr>
          <w:p>
            <w:pPr>
              <w:ind w:left="140"/>
              <w:spacing w:after="0"/>
              <w:rPr>
                <w:sz w:val="20"/>
                <w:szCs w:val="20"/>
                <w:color w:val="auto"/>
              </w:rPr>
            </w:pPr>
            <w:r>
              <w:rPr>
                <w:rFonts w:ascii="Arial" w:cs="Arial" w:eastAsia="Arial" w:hAnsi="Arial"/>
                <w:sz w:val="18"/>
                <w:szCs w:val="18"/>
                <w:b w:val="1"/>
                <w:bCs w:val="1"/>
                <w:color w:val="auto"/>
              </w:rPr>
              <w:t xml:space="preserve">Transaction ROCE </w:t>
            </w:r>
            <w:r>
              <w:rPr>
                <w:rFonts w:ascii="Arial" w:cs="Arial" w:eastAsia="Arial" w:hAnsi="Arial"/>
                <w:sz w:val="24"/>
                <w:szCs w:val="24"/>
                <w:b w:val="1"/>
                <w:bCs w:val="1"/>
                <w:color w:val="auto"/>
                <w:vertAlign w:val="superscript"/>
              </w:rPr>
              <w:t>(2)</w:t>
            </w:r>
          </w:p>
        </w:tc>
        <w:tc>
          <w:tcPr>
            <w:tcW w:w="1660" w:type="dxa"/>
            <w:vAlign w:val="bottom"/>
            <w:shd w:val="clear" w:color="auto" w:fill="E7E6E6"/>
          </w:tcPr>
          <w:p>
            <w:pPr>
              <w:jc w:val="center"/>
              <w:ind w:right="50"/>
              <w:spacing w:after="0"/>
              <w:rPr>
                <w:sz w:val="20"/>
                <w:szCs w:val="20"/>
                <w:color w:val="auto"/>
              </w:rPr>
            </w:pPr>
            <w:r>
              <w:rPr>
                <w:rFonts w:ascii="Arial" w:cs="Arial" w:eastAsia="Arial" w:hAnsi="Arial"/>
                <w:sz w:val="18"/>
                <w:szCs w:val="18"/>
                <w:b w:val="1"/>
                <w:bCs w:val="1"/>
                <w:color w:val="auto"/>
                <w:w w:val="99"/>
              </w:rPr>
              <w:t>14%</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Note: TCO reported financials converted from NOK to USD at an exchange ratio of 0.1056</w:t>
      </w:r>
    </w:p>
    <w:p>
      <w:pPr>
        <w:spacing w:after="0" w:line="3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Underlying calculation is not rounded</w:t>
      </w:r>
    </w:p>
    <w:p>
      <w:pPr>
        <w:spacing w:after="0" w:line="41" w:lineRule="exact"/>
        <w:rPr>
          <w:rFonts w:ascii="Arial" w:cs="Arial" w:eastAsia="Arial" w:hAnsi="Arial"/>
          <w:sz w:val="18"/>
          <w:szCs w:val="18"/>
          <w:color w:val="auto"/>
          <w:vertAlign w:val="superscript"/>
        </w:rPr>
      </w:pPr>
    </w:p>
    <w:p>
      <w:pPr>
        <w:ind w:left="160" w:hanging="152"/>
        <w:spacing w:after="0" w:line="202"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Transaction ROCE is a non-GAAP measure and is defined as (TCO 2025 Operating Income – TCO 2025 Tax Expense) /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tabs>
          <w:tab w:leader="none" w:pos="13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7"/>
          <w:szCs w:val="17"/>
          <w:b w:val="1"/>
          <w:bCs w:val="1"/>
          <w:color w:val="auto"/>
        </w:rPr>
        <w:t>Unregistered Sales of Equity Securities.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set forth above in the Explanatory Note to this Current Report on Form 8-K is incorporated by reference into this Item 3.02. The issuance of Consideration Shares to the Seller pursuant to the Purchase Agreement is exempt from the registration requirements of the Securities Act of 1933, as amended, pursuant to Section 4(a)(2)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Innovex International, Inc.</w:t>
      </w:r>
    </w:p>
    <w:p>
      <w:pPr>
        <w:spacing w:after="0" w:line="131" w:lineRule="exact"/>
        <w:rPr>
          <w:sz w:val="20"/>
          <w:szCs w:val="20"/>
          <w:color w:val="auto"/>
        </w:rPr>
      </w:pPr>
    </w:p>
    <w:p>
      <w:pPr>
        <w:spacing w:after="0"/>
        <w:tabs>
          <w:tab w:leader="none" w:pos="8460" w:val="left"/>
          <w:tab w:leader="none" w:pos="8920" w:val="left"/>
        </w:tabs>
        <w:rPr>
          <w:sz w:val="20"/>
          <w:szCs w:val="20"/>
          <w:color w:val="auto"/>
        </w:rPr>
      </w:pPr>
      <w:r>
        <w:rPr>
          <w:rFonts w:ascii="Arial" w:cs="Arial" w:eastAsia="Arial" w:hAnsi="Arial"/>
          <w:sz w:val="18"/>
          <w:szCs w:val="18"/>
          <w:color w:val="auto"/>
        </w:rPr>
        <w:t>Date: June 15, 2026</w:t>
      </w:r>
      <w:r>
        <w:rPr>
          <w:sz w:val="20"/>
          <w:szCs w:val="20"/>
          <w:color w:val="auto"/>
        </w:rPr>
        <w:tab/>
      </w:r>
      <w:r>
        <w:rPr>
          <w:rFonts w:ascii="Arial" w:cs="Arial" w:eastAsia="Arial" w:hAnsi="Arial"/>
          <w:sz w:val="18"/>
          <w:szCs w:val="18"/>
          <w:color w:val="auto"/>
        </w:rPr>
        <w:t>By:</w:t>
        <w:tab/>
        <w:t>/s/ Adam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8890</wp:posOffset>
            </wp:positionV>
            <wp:extent cx="1457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Adam Anderson</w:t>
      </w:r>
    </w:p>
    <w:p>
      <w:pPr>
        <w:ind w:left="8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2026-06-15T06:33:46Z</dcterms:created>
  <dcterms:modified xsi:type="dcterms:W3CDTF">2026-06-15T06:33:46Z</dcterms:modified>
</cp:coreProperties>
</file>