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32791d424b7.htm"/>
        <w:bookmarkStart w:id="1" w:name="ksd32791d424b7"/>
        <w:bookmarkEnd w:id="0"/>
        <w:bookmarkEnd w:id="1"/>
        <w:r>
          <w:rPr>
            <w:rStyle w:val="InternetLink"/>
            <w:b/>
            <w:sz w:val="20"/>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supplement is not complete and may be changed. This preliminary prospectus supplement and the accompanying prospectus are not an offer to sell these securities and are not soliciting an offer to buy these securities in any jurisdiction where such offer or sale is not permitted. </w:t>
      </w:r>
    </w:p>
    <w:p>
      <w:pPr>
        <w:pStyle w:val="TextBody"/>
        <w:bidi w:val="0"/>
        <w:spacing w:before="0" w:after="0"/>
        <w:ind w:left="760" w:right="760" w:hanging="0"/>
        <w:jc w:val="left"/>
        <w:rPr/>
      </w:pPr>
      <w:r>
        <w:rPr/>
        <w:t> </w:t>
      </w:r>
    </w:p>
    <w:p>
      <w:pPr>
        <w:pStyle w:val="TextBody"/>
        <w:bidi w:val="0"/>
        <w:spacing w:before="0" w:after="0"/>
        <w:ind w:left="760" w:right="760" w:hanging="0"/>
        <w:jc w:val="right"/>
        <w:rPr>
          <w:rFonts w:ascii="Times New Roman" w:hAnsi="Times New Roman"/>
          <w:b/>
          <w:sz w:val="20"/>
        </w:rPr>
      </w:pPr>
      <w:r>
        <w:rPr>
          <w:rFonts w:ascii="Times New Roman" w:hAnsi="Times New Roman"/>
          <w:b/>
          <w:sz w:val="20"/>
        </w:rPr>
        <w:t>Filed Pursuant to Rule 424(b)(7)</w:t>
        <w:br/>
        <w:t xml:space="preserve">Registration Number 333-282178 </w:t>
      </w:r>
    </w:p>
    <w:p>
      <w:pPr>
        <w:pStyle w:val="TextBody"/>
        <w:bidi w:val="0"/>
        <w:spacing w:before="0" w:after="0"/>
        <w:ind w:left="760" w:right="760" w:hanging="0"/>
        <w:jc w:val="center"/>
        <w:rPr>
          <w:rFonts w:ascii="Times New Roman" w:hAnsi="Times New Roman"/>
          <w:b/>
          <w:color w:val="FF4338"/>
          <w:sz w:val="20"/>
        </w:rPr>
      </w:pPr>
      <w:r>
        <w:rPr>
          <w:rFonts w:ascii="Times New Roman" w:hAnsi="Times New Roman"/>
          <w:b/>
          <w:color w:val="FF4338"/>
          <w:sz w:val="20"/>
        </w:rPr>
        <w:t xml:space="preserve">Subject to completion. dated August 6, 2026. </w:t>
      </w:r>
    </w:p>
    <w:p>
      <w:pPr>
        <w:pStyle w:val="TextBody"/>
        <w:bidi w:val="0"/>
        <w:spacing w:before="0" w:after="0"/>
        <w:ind w:left="760" w:right="760" w:hanging="0"/>
        <w:jc w:val="left"/>
        <w:rPr>
          <w:rFonts w:ascii="Times New Roman" w:hAnsi="Times New Roman"/>
          <w:b/>
          <w:sz w:val="20"/>
        </w:rPr>
      </w:pPr>
      <w:r>
        <w:rPr>
          <w:rFonts w:ascii="Times New Roman" w:hAnsi="Times New Roman"/>
          <w:b/>
          <w:sz w:val="20"/>
        </w:rPr>
        <w:t xml:space="preserve">Preliminary prospectus supplement </w:t>
      </w:r>
    </w:p>
    <w:p>
      <w:pPr>
        <w:pStyle w:val="TextBody"/>
        <w:bidi w:val="0"/>
        <w:spacing w:before="0" w:after="0"/>
        <w:ind w:left="760" w:right="760" w:hanging="0"/>
        <w:jc w:val="left"/>
        <w:rPr>
          <w:rFonts w:ascii="Times New Roman" w:hAnsi="Times New Roman"/>
          <w:b/>
          <w:sz w:val="20"/>
        </w:rPr>
      </w:pPr>
      <w:r>
        <w:rPr>
          <w:rFonts w:ascii="Times New Roman" w:hAnsi="Times New Roman"/>
          <w:b/>
          <w:sz w:val="20"/>
        </w:rPr>
        <w:t xml:space="preserve">(To Prospectus dated October 1, 2024) </w:t>
      </w:r>
    </w:p>
    <w:p>
      <w:pPr>
        <w:pStyle w:val="TextBody"/>
        <w:bidi w:val="0"/>
        <w:spacing w:before="240" w:after="0"/>
        <w:ind w:left="760" w:right="760" w:hanging="0"/>
        <w:jc w:val="center"/>
        <w:rPr>
          <w:rFonts w:ascii="Times New Roman" w:hAnsi="Times New Roman"/>
          <w:sz w:val="36"/>
        </w:rPr>
      </w:pPr>
      <w:r>
        <w:rPr>
          <w:rFonts w:ascii="Times New Roman" w:hAnsi="Times New Roman"/>
          <w:b/>
          <w:sz w:val="36"/>
        </w:rPr>
        <w:t>5,000,000 shares</w:t>
      </w:r>
      <w:r>
        <w:rPr>
          <w:rFonts w:ascii="Times New Roman" w:hAnsi="Times New Roman"/>
          <w:sz w:val="36"/>
        </w:rPr>
        <w:t xml:space="preserve"> </w:t>
      </w:r>
    </w:p>
    <w:p>
      <w:pPr>
        <w:pStyle w:val="TextBody"/>
        <w:bidi w:val="0"/>
        <w:spacing w:before="0" w:after="0"/>
        <w:ind w:left="760" w:right="760" w:hanging="0"/>
        <w:jc w:val="left"/>
        <w:rPr/>
      </w:pPr>
      <w:r>
        <w:rPr/>
        <w:t> </w:t>
      </w:r>
    </w:p>
    <w:p>
      <w:pPr>
        <w:pStyle w:val="TextBody"/>
        <w:bidi w:val="0"/>
        <w:spacing w:before="0" w:after="0"/>
        <w:ind w:left="760" w:right="760" w:hanging="0"/>
        <w:jc w:val="center"/>
        <w:rPr/>
      </w:pPr>
      <w:r>
        <w:rPr/>
        <w:drawing>
          <wp:inline distT="0" distB="0" distL="0" distR="0">
            <wp:extent cx="2995295" cy="6769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95295" cy="676910"/>
                    </a:xfrm>
                    <a:prstGeom prst="rect">
                      <a:avLst/>
                    </a:prstGeom>
                  </pic:spPr>
                </pic:pic>
              </a:graphicData>
            </a:graphic>
          </wp:inline>
        </w:drawing>
      </w:r>
      <w:r>
        <w:rPr/>
        <w:t xml:space="preserve"> </w:t>
      </w:r>
    </w:p>
    <w:p>
      <w:pPr>
        <w:pStyle w:val="TextBody"/>
        <w:bidi w:val="0"/>
        <w:spacing w:before="240" w:after="0"/>
        <w:ind w:left="760" w:right="760" w:hanging="0"/>
        <w:jc w:val="center"/>
        <w:rPr>
          <w:rFonts w:ascii="Times New Roman" w:hAnsi="Times New Roman"/>
          <w:b/>
          <w:sz w:val="48"/>
        </w:rPr>
      </w:pPr>
      <w:r>
        <w:rPr>
          <w:rFonts w:ascii="Times New Roman" w:hAnsi="Times New Roman"/>
          <w:b/>
          <w:sz w:val="48"/>
        </w:rPr>
        <w:t xml:space="preserve">Innovex International, Inc. </w:t>
      </w:r>
    </w:p>
    <w:p>
      <w:pPr>
        <w:pStyle w:val="TextBody"/>
        <w:bidi w:val="0"/>
        <w:spacing w:before="240" w:after="0"/>
        <w:ind w:left="760" w:right="760" w:hanging="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ind w:left="760" w:right="760" w:hanging="0"/>
        <w:jc w:val="left"/>
        <w:rPr/>
      </w:pPr>
      <w:r>
        <w:rPr/>
        <w:t> </w:t>
      </w:r>
    </w:p>
    <w:p>
      <w:pPr>
        <w:pStyle w:val="TextBody"/>
        <w:bidi w:val="0"/>
        <w:spacing w:lineRule="atLeast" w:line="142" w:before="0" w:after="40"/>
        <w:ind w:left="760" w:right="760" w:hanging="0"/>
        <w:jc w:val="center"/>
        <w:rPr>
          <w:bdr w:val="single" w:sz="8" w:space="1" w:color="000000"/>
        </w:rPr>
      </w:pPr>
      <w:r>
        <w:rPr>
          <w:bdr w:val="single" w:sz="8" w:space="1" w:color="000000"/>
        </w:rPr>
        <w:t> </w:t>
      </w:r>
    </w:p>
    <w:p>
      <w:pPr>
        <w:pStyle w:val="TextBody"/>
        <w:bidi w:val="0"/>
        <w:spacing w:before="240" w:after="0"/>
        <w:ind w:left="760" w:right="760" w:hanging="0"/>
        <w:jc w:val="left"/>
        <w:rPr>
          <w:rFonts w:ascii="Times New Roman" w:hAnsi="Times New Roman"/>
          <w:sz w:val="20"/>
        </w:rPr>
      </w:pPr>
      <w:r>
        <w:rPr>
          <w:rFonts w:ascii="Times New Roman" w:hAnsi="Times New Roman"/>
          <w:sz w:val="20"/>
        </w:rPr>
        <w:t>The selling stockholders identified in this prospectus supplement (the “</w:t>
      </w:r>
      <w:r>
        <w:rPr>
          <w:rFonts w:ascii="Times New Roman" w:hAnsi="Times New Roman"/>
          <w:b/>
          <w:sz w:val="20"/>
        </w:rPr>
        <w:t>selling stockholders</w:t>
      </w:r>
      <w:r>
        <w:rPr>
          <w:rFonts w:ascii="Times New Roman" w:hAnsi="Times New Roman"/>
          <w:sz w:val="20"/>
        </w:rPr>
        <w:t>”) are offering 5,000,000 shares of common stock, par value $0.01 per share (“</w:t>
      </w:r>
      <w:r>
        <w:rPr>
          <w:rFonts w:ascii="Times New Roman" w:hAnsi="Times New Roman"/>
          <w:b/>
          <w:sz w:val="20"/>
        </w:rPr>
        <w:t>common stock</w:t>
      </w:r>
      <w:r>
        <w:rPr>
          <w:rFonts w:ascii="Times New Roman" w:hAnsi="Times New Roman"/>
          <w:sz w:val="20"/>
        </w:rPr>
        <w:t>”), of Innovex International, Inc. (the “</w:t>
      </w:r>
      <w:r>
        <w:rPr>
          <w:rFonts w:ascii="Times New Roman" w:hAnsi="Times New Roman"/>
          <w:b/>
          <w:sz w:val="20"/>
        </w:rPr>
        <w:t>Company</w:t>
      </w:r>
      <w:r>
        <w:rPr>
          <w:rFonts w:ascii="Times New Roman" w:hAnsi="Times New Roman"/>
          <w:sz w:val="20"/>
        </w:rPr>
        <w:t>,” “</w:t>
      </w:r>
      <w:r>
        <w:rPr>
          <w:rFonts w:ascii="Times New Roman" w:hAnsi="Times New Roman"/>
          <w:b/>
          <w:sz w:val="20"/>
        </w:rPr>
        <w:t>we,</w:t>
      </w:r>
      <w:r>
        <w:rPr>
          <w:rFonts w:ascii="Times New Roman" w:hAnsi="Times New Roman"/>
          <w:sz w:val="20"/>
        </w:rPr>
        <w:t>” “</w:t>
      </w:r>
      <w:r>
        <w:rPr>
          <w:rFonts w:ascii="Times New Roman" w:hAnsi="Times New Roman"/>
          <w:b/>
          <w:sz w:val="20"/>
        </w:rPr>
        <w:t>us</w:t>
      </w:r>
      <w:r>
        <w:rPr>
          <w:rFonts w:ascii="Times New Roman" w:hAnsi="Times New Roman"/>
          <w:sz w:val="20"/>
        </w:rPr>
        <w:t>” and “</w:t>
      </w:r>
      <w:r>
        <w:rPr>
          <w:rFonts w:ascii="Times New Roman" w:hAnsi="Times New Roman"/>
          <w:b/>
          <w:sz w:val="20"/>
        </w:rPr>
        <w:t>our</w:t>
      </w:r>
      <w:r>
        <w:rPr>
          <w:rFonts w:ascii="Times New Roman" w:hAnsi="Times New Roman"/>
          <w:sz w:val="20"/>
        </w:rPr>
        <w:t xml:space="preserve">”). We will not receive any proceeds from the sale of shares by the selling stockholders. </w:t>
      </w:r>
    </w:p>
    <w:p>
      <w:pPr>
        <w:pStyle w:val="TextBody"/>
        <w:bidi w:val="0"/>
        <w:spacing w:before="240" w:after="0"/>
        <w:ind w:left="760" w:right="760" w:hanging="0"/>
        <w:jc w:val="left"/>
        <w:rPr>
          <w:rFonts w:ascii="Times New Roman" w:hAnsi="Times New Roman"/>
          <w:sz w:val="20"/>
        </w:rPr>
      </w:pPr>
      <w:r>
        <w:rPr>
          <w:rFonts w:ascii="Times New Roman" w:hAnsi="Times New Roman"/>
          <w:sz w:val="20"/>
        </w:rPr>
        <w:t xml:space="preserve">The underwriter has agreed to purchase shares of common stock from the selling stockholders at a price of $ per share, which will result in $  of proceeds to the selling stockholders before expenses. The underwriter may offer shares of common stock from time to time for sale in one or more transactions on the NYSE, in the over-the-counter market, through negotiated transactions or otherwise at market prices prevailing at the time of sale, at prices related to prevailing market prices or at negotiated prices. See “Underwriting” for a description of the compensation payable to the underwriter. </w:t>
      </w:r>
    </w:p>
    <w:p>
      <w:pPr>
        <w:pStyle w:val="TextBody"/>
        <w:bidi w:val="0"/>
        <w:spacing w:before="240" w:after="0"/>
        <w:ind w:left="760" w:right="760" w:hanging="0"/>
        <w:jc w:val="left"/>
        <w:rPr>
          <w:rFonts w:ascii="Times New Roman" w:hAnsi="Times New Roman"/>
          <w:sz w:val="20"/>
        </w:rPr>
      </w:pPr>
      <w:r>
        <w:rPr>
          <w:rFonts w:ascii="Times New Roman" w:hAnsi="Times New Roman"/>
          <w:sz w:val="20"/>
        </w:rPr>
        <w:t>The common stock is listed on the New York Stock Exchange (the “NYSE”) under the symbol “</w:t>
      </w:r>
      <w:r>
        <w:rPr>
          <w:rFonts w:ascii="Times New Roman" w:hAnsi="Times New Roman"/>
          <w:b/>
          <w:sz w:val="20"/>
        </w:rPr>
        <w:t>INVX</w:t>
      </w:r>
      <w:r>
        <w:rPr>
          <w:rFonts w:ascii="Times New Roman" w:hAnsi="Times New Roman"/>
          <w:sz w:val="20"/>
        </w:rPr>
        <w:t xml:space="preserve">”. The last sale price of the common stock as reported by the NYSE on August 4, 2026 was $31.63 per share. </w:t>
      </w:r>
    </w:p>
    <w:p>
      <w:pPr>
        <w:pStyle w:val="TextBody"/>
        <w:bidi w:val="0"/>
        <w:spacing w:before="0" w:after="0"/>
        <w:ind w:left="760" w:right="760" w:hanging="0"/>
        <w:jc w:val="left"/>
        <w:rPr/>
      </w:pPr>
      <w:r>
        <w:rPr/>
        <w:t> </w:t>
      </w:r>
    </w:p>
    <w:p>
      <w:pPr>
        <w:pStyle w:val="TextBody"/>
        <w:bidi w:val="0"/>
        <w:spacing w:lineRule="atLeast" w:line="142" w:before="0" w:after="40"/>
        <w:ind w:left="760" w:right="760" w:hanging="0"/>
        <w:jc w:val="center"/>
        <w:rPr>
          <w:bdr w:val="single" w:sz="8" w:space="1" w:color="000000"/>
        </w:rPr>
      </w:pPr>
      <w:r>
        <w:rPr>
          <w:bdr w:val="single" w:sz="8" w:space="1" w:color="000000"/>
        </w:rPr>
        <w:t> </w:t>
      </w:r>
    </w:p>
    <w:p>
      <w:pPr>
        <w:pStyle w:val="TextBody"/>
        <w:bidi w:val="0"/>
        <w:spacing w:before="240" w:after="0"/>
        <w:ind w:left="760" w:right="760" w:hanging="0"/>
        <w:jc w:val="left"/>
        <w:rPr/>
      </w:pPr>
      <w:r>
        <w:rPr>
          <w:rFonts w:ascii="Times New Roman" w:hAnsi="Times New Roman"/>
          <w:b/>
          <w:sz w:val="24"/>
        </w:rPr>
        <w:t>Investing in the common stock involves risks, including those described in the “</w:t>
      </w:r>
      <w:hyperlink w:anchor="supprom32791_5">
        <w:r>
          <w:rPr>
            <w:rStyle w:val="InternetLink"/>
            <w:rFonts w:ascii="Times New Roman" w:hAnsi="Times New Roman"/>
            <w:b/>
            <w:sz w:val="24"/>
          </w:rPr>
          <w:t>Risk Factors</w:t>
        </w:r>
      </w:hyperlink>
      <w:r>
        <w:rPr>
          <w:rFonts w:ascii="Times New Roman" w:hAnsi="Times New Roman"/>
          <w:b/>
          <w:sz w:val="24"/>
        </w:rPr>
        <w:t xml:space="preserve">” section beginning on page S-3 of this prospectus supplement, on page 1 of the accompanying prospectus and in the documents incorporated by reference in this prospectus supplement and the accompanying prospectus. </w:t>
      </w:r>
    </w:p>
    <w:p>
      <w:pPr>
        <w:pStyle w:val="TextBody"/>
        <w:bidi w:val="0"/>
        <w:spacing w:before="240" w:after="0"/>
        <w:ind w:left="760" w:right="760" w:hanging="0"/>
        <w:jc w:val="left"/>
        <w:rPr>
          <w:rFonts w:ascii="Times New Roman" w:hAnsi="Times New Roman"/>
          <w:b/>
          <w:sz w:val="20"/>
        </w:rPr>
      </w:pPr>
      <w:r>
        <w:rPr>
          <w:rFonts w:ascii="Times New Roman" w:hAnsi="Times New Roman"/>
          <w:b/>
          <w:sz w:val="20"/>
        </w:rPr>
        <w:t xml:space="preserve">Neither the Securities and Exchange Commission (the “SEC”) nor any state securities commission has approved or disapproved of these securities or passed upon the accuracy or adequacy of the disclosures in the prospectus. Any representation to the contrary is a criminal offense. </w:t>
      </w:r>
    </w:p>
    <w:p>
      <w:pPr>
        <w:pStyle w:val="TextBody"/>
        <w:bidi w:val="0"/>
        <w:spacing w:before="240" w:after="0"/>
        <w:ind w:left="760" w:right="760" w:hanging="0"/>
        <w:jc w:val="center"/>
        <w:rPr>
          <w:rFonts w:ascii="Times New Roman" w:hAnsi="Times New Roman"/>
          <w:b/>
          <w:sz w:val="28"/>
        </w:rPr>
      </w:pPr>
      <w:r>
        <w:rPr>
          <w:rFonts w:ascii="Times New Roman" w:hAnsi="Times New Roman"/>
          <w:b/>
          <w:sz w:val="28"/>
        </w:rPr>
        <w:t xml:space="preserve">Barclays </w:t>
      </w:r>
    </w:p>
    <w:p>
      <w:pPr>
        <w:pStyle w:val="TextBody"/>
        <w:bidi w:val="0"/>
        <w:spacing w:before="0" w:after="0"/>
        <w:ind w:left="760" w:right="760" w:hanging="0"/>
        <w:jc w:val="left"/>
        <w:rPr/>
      </w:pPr>
      <w:r>
        <w:rPr/>
        <w:t> </w:t>
      </w:r>
    </w:p>
    <w:p>
      <w:pPr>
        <w:pStyle w:val="TextBody"/>
        <w:bidi w:val="0"/>
        <w:spacing w:lineRule="atLeast" w:line="142" w:before="0" w:after="40"/>
        <w:ind w:left="760" w:right="760" w:hanging="0"/>
        <w:jc w:val="center"/>
        <w:rPr>
          <w:bdr w:val="single" w:sz="8" w:space="1" w:color="000000"/>
        </w:rPr>
      </w:pPr>
      <w:r>
        <w:rPr>
          <w:bdr w:val="single" w:sz="8" w:space="1" w:color="000000"/>
        </w:rPr>
        <w:t> </w:t>
      </w:r>
    </w:p>
    <w:p>
      <w:pPr>
        <w:pStyle w:val="TextBody"/>
        <w:bidi w:val="0"/>
        <w:spacing w:before="240" w:after="0"/>
        <w:ind w:left="760" w:right="760" w:hanging="0"/>
        <w:jc w:val="center"/>
        <w:rPr>
          <w:rFonts w:ascii="Times New Roman" w:hAnsi="Times New Roman"/>
          <w:b/>
          <w:sz w:val="20"/>
        </w:rPr>
      </w:pPr>
      <w:r>
        <w:rPr>
          <w:rFonts w:ascii="Times New Roman" w:hAnsi="Times New Roman"/>
          <w:b/>
          <w:sz w:val="20"/>
        </w:rPr>
        <w:t xml:space="preserve">The date of this prospectus supplement is    ,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12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32791_1">
              <w:r>
                <w:rPr>
                  <w:rStyle w:val="InternetLink"/>
                  <w:rFonts w:ascii="Times New Roman" w:hAnsi="Times New Roman"/>
                  <w:sz w:val="20"/>
                </w:rPr>
                <w:t xml:space="preserve">ABOUT THIS PROSPECTUS SUPPLEMENT </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S-ii</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32791_2">
              <w:r>
                <w:rPr>
                  <w:rStyle w:val="InternetLink"/>
                  <w:rFonts w:ascii="Times New Roman" w:hAnsi="Times New Roman"/>
                  <w:sz w:val="20"/>
                </w:rPr>
                <w:t xml:space="preserve">WHERE YOU CAN FIND MORE INFORMATION </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S-iii</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32791_3">
              <w:r>
                <w:rPr>
                  <w:rStyle w:val="InternetLink"/>
                  <w:rFonts w:ascii="Times New Roman" w:hAnsi="Times New Roman"/>
                  <w:sz w:val="20"/>
                </w:rPr>
                <w:t>CAUTIONARY STATEMENT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S-iv</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32791_4">
              <w:r>
                <w:rPr>
                  <w:rStyle w:val="InternetLink"/>
                  <w:rFonts w:ascii="Times New Roman" w:hAnsi="Times New Roman"/>
                  <w:sz w:val="20"/>
                </w:rPr>
                <w:t>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32791_5">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32791_6">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32791_7">
              <w:r>
                <w:rPr>
                  <w:rStyle w:val="InternetLink"/>
                  <w:rFonts w:ascii="Times New Roman" w:hAnsi="Times New Roman"/>
                  <w:sz w:val="20"/>
                </w:rPr>
                <w:t>DIVIDEND POLICY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32791_8">
              <w:r>
                <w:rPr>
                  <w:rStyle w:val="InternetLink"/>
                  <w:rFonts w:ascii="Times New Roman" w:hAnsi="Times New Roman"/>
                  <w:sz w:val="20"/>
                </w:rPr>
                <w:t>SELLING STOCKHOLDERS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32791_9">
              <w:r>
                <w:rPr>
                  <w:rStyle w:val="InternetLink"/>
                  <w:rFonts w:ascii="Times New Roman" w:hAnsi="Times New Roman"/>
                  <w:sz w:val="20"/>
                </w:rPr>
                <w:t>MATERIAL U.S. FEDERAL INCOME TAX CONSIDERATIONS FOR NON-U.S. HOLDERS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32791_10">
              <w:r>
                <w:rPr>
                  <w:rStyle w:val="InternetLink"/>
                  <w:rFonts w:ascii="Times New Roman" w:hAnsi="Times New Roman"/>
                  <w:sz w:val="20"/>
                </w:rPr>
                <w:t xml:space="preserve">CERTAIN ERISA CONSIDERATIONS </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32791_11">
              <w:r>
                <w:rPr>
                  <w:rStyle w:val="InternetLink"/>
                  <w:rFonts w:ascii="Times New Roman" w:hAnsi="Times New Roman"/>
                  <w:sz w:val="20"/>
                </w:rPr>
                <w:t>UNDERWRITING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S-19</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32791_12">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32791_13">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S-27</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32791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ii</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32791_2">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ii</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32791_3">
              <w:r>
                <w:rPr>
                  <w:rStyle w:val="InternetLink"/>
                  <w:rFonts w:ascii="Times New Roman" w:hAnsi="Times New Roman"/>
                  <w:sz w:val="20"/>
                </w:rPr>
                <w:t xml:space="preserve">CAUTIONARY STATEMENT REGARDING FORWARD-LOOKING STATEMENTS </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iv</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32791_4">
              <w:r>
                <w:rPr>
                  <w:rStyle w:val="InternetLink"/>
                  <w:rFonts w:ascii="Times New Roman" w:hAnsi="Times New Roman"/>
                  <w:sz w:val="20"/>
                </w:rPr>
                <w:t>INNOVEX INTERNATIONAL, INC.</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32791_5">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32791_6">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32791_7">
              <w:r>
                <w:rPr>
                  <w:rStyle w:val="InternetLink"/>
                  <w:rFonts w:ascii="Times New Roman" w:hAnsi="Times New Roman"/>
                  <w:sz w:val="20"/>
                </w:rPr>
                <w:t>SELLING STOCKHOLDERS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32791_8">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32791_9">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32791_10">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32791_11">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rom32791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in two parts. The first part is this prospectus supplement, which describes the specific terms of this offering and supplements and updates the information contained in the accompanying prospectus. The second part is the accompanying prospectus, which provides more general information, some of which may not apply to this offering. Generally, when we use the term “prospectus,” we are referring to both parts combined. You should read this entire prospectus supplement as well as the accompanying prospectus and the documents incorporated by reference that are described under the “Where You Can Find More Information” section in this prospectus supplement. To the extent that any statement in this prospectus supplement is inconsistent with statements made in the accompanying prospectus, you should rely on the information contained in this prospectus supplement, which will be deemed to modify or supersede those made in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In making an investment decision, prospective investors must rely on their own examination of us and the terms of this offering, including the merits and risks involved. Neither we, the selling stockholders, the underwriter nor any of our or their respective representatives are making any representation to you regarding the legality of an investment in our common stock by you under applicable laws. You should consult with your own advisors as to legal, tax, business, financial and related aspects of an investment in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Any statement made in this prospectus or in a document incorporated or deemed to be incorporated by reference into this prospectus will be deemed to be modified or superseded for purposes of this prospectus to the extent that a statement contained in this prospectus or in any other subsequently filed document that is also incorporated by reference into this prospectus modifies or supersedes that statement. Any statement so modified or superseded will not be deemed, except as so modified or superseded, to constitute a part of this prospectus. Please read “Where You Can Find More Information”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You should assume that the information appearing in this prospectus supplement, the accompanying prospectus and any free writing prospectus is accurate only as of the date on its respective cover, regardless of the time of delivery of this prospectus supplement or any sale of our common stock, and that any information incorporated by reference herein or therein is accurate only as of the date of the document incorporated by reference, unless we indicate otherwise. You should not assume that the information contained in this prospectus supplement, the documents incorporated by reference in this prospectus supplement or the accompanying base prospectus is accurate as of any date other than the respective dates of those documents. Our business, financial condition, results of operations and prospects may have changed since those dates.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we, the selling stockholders, the underwriter nor any of our or their respective representatives have authorized anyone to provide you with information different from or in addition to the information contained or incorporated by reference in this prospectus supplement, the accompanying prospectus and any related free writing prospectus that we file with the SEC. Accordingly, neither we, the selling stockholders, the underwriter nor any of our or their respective representatives take any responsibility for, or can provide any assurance as to the reliability of, any information that others may provide. </w:t>
      </w:r>
    </w:p>
    <w:p>
      <w:pPr>
        <w:pStyle w:val="TextBody"/>
        <w:bidi w:val="0"/>
        <w:spacing w:before="240" w:after="0"/>
        <w:jc w:val="left"/>
        <w:rPr>
          <w:rFonts w:ascii="Times New Roman" w:hAnsi="Times New Roman"/>
          <w:b/>
          <w:sz w:val="20"/>
        </w:rPr>
      </w:pPr>
      <w:r>
        <w:rPr>
          <w:rFonts w:ascii="Times New Roman" w:hAnsi="Times New Roman"/>
          <w:b/>
          <w:sz w:val="20"/>
        </w:rPr>
        <w:t xml:space="preserve">Neither we, the selling stockholders, the underwriter nor any of our or their respective representatives are making an offer to sell these securities in any jurisdiction where the offer or sale of such securities would be unlawful. </w:t>
      </w:r>
    </w:p>
    <w:p>
      <w:pPr>
        <w:pStyle w:val="TextBody"/>
        <w:bidi w:val="0"/>
        <w:spacing w:before="240" w:after="0"/>
        <w:jc w:val="left"/>
        <w:rPr>
          <w:rFonts w:ascii="Times New Roman" w:hAnsi="Times New Roman"/>
          <w:sz w:val="20"/>
        </w:rPr>
      </w:pPr>
      <w:r>
        <w:rPr>
          <w:rFonts w:ascii="Times New Roman" w:hAnsi="Times New Roman"/>
          <w:sz w:val="20"/>
        </w:rPr>
        <w:t xml:space="preserve">When used in this prospectus, except where the context otherwise requires, the terms “we,” “us” and “our” refer to Innovex International, Inc. and its consolidated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rom32791_2"/>
      <w:bookmarkEnd w:id="4"/>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We file annual, quarterly and current reports, proxy statements and other information with the SEC. We also filed a registration statement on Form S-3, including exhibits, under the Securities Act of 1933, as amended (the “</w:t>
      </w:r>
      <w:r>
        <w:rPr>
          <w:rFonts w:ascii="Times New Roman" w:hAnsi="Times New Roman"/>
          <w:b/>
          <w:sz w:val="20"/>
        </w:rPr>
        <w:t>Securities Act</w:t>
      </w:r>
      <w:r>
        <w:rPr>
          <w:rFonts w:ascii="Times New Roman" w:hAnsi="Times New Roman"/>
          <w:sz w:val="20"/>
        </w:rPr>
        <w:t xml:space="preserve">”), with respect to the securities offered by this prospectus supplement. This prospectus supplement and the accompanying prospectus are part of the registration statement but do not contain all of the information included in the registration statement or the exhibits. You can find our public filings with the SEC on the internet at a website maintained by the SEC located at http://www.sec.gov. We also make available on our internet website our annual, quarterly and current reports and amendments as soon as reasonably practicable after such documents are electronically filed with, or furnished to, the SEC. Our website address is www.innovex-inc.com. The information on our website is not incorporated by reference into this prospectus supplement and does not constitute a part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are “incorporating by reference” specified documents that we file with the SEC, which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incorporated documents are considered part of this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disclosing important information to you by referring you to those documents;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we file later with the SEC will automatically update and supersede information contained in this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We incorporate by reference the documents listed below (excluding any information furnished and not filed with the SEC), which we filed with the SEC under the Securities Exchange Act of 1934, as amended (the “</w:t>
      </w:r>
      <w:r>
        <w:rPr>
          <w:rFonts w:ascii="Times New Roman" w:hAnsi="Times New Roman"/>
          <w:b/>
          <w:sz w:val="20"/>
        </w:rPr>
        <w:t>Exchange Act</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2025 (the “2025 Annual Report”), filed with the SEC on February 24,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incorporated by reference into the 2025 Annual Report from our Definitive Proxy Statement on </w:t>
            </w:r>
            <w:hyperlink r:id="rId4">
              <w:r>
                <w:rPr>
                  <w:rStyle w:val="InternetLink"/>
                  <w:rFonts w:ascii="Times New Roman" w:hAnsi="Times New Roman"/>
                  <w:sz w:val="20"/>
                </w:rPr>
                <w:t>Schedule 14A</w:t>
              </w:r>
            </w:hyperlink>
            <w:r>
              <w:rPr>
                <w:rFonts w:ascii="Times New Roman" w:hAnsi="Times New Roman"/>
                <w:sz w:val="20"/>
              </w:rPr>
              <w:t xml:space="preserve">, filed with the SEC on March 27,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fiscal quarter ended </w:t>
            </w:r>
            <w:hyperlink r:id="rId5">
              <w:r>
                <w:rPr>
                  <w:rStyle w:val="InternetLink"/>
                  <w:rFonts w:ascii="Times New Roman" w:hAnsi="Times New Roman"/>
                  <w:sz w:val="20"/>
                </w:rPr>
                <w:t>March 31, 2026</w:t>
              </w:r>
            </w:hyperlink>
            <w:r>
              <w:rPr>
                <w:rFonts w:ascii="Times New Roman" w:hAnsi="Times New Roman"/>
                <w:sz w:val="20"/>
              </w:rPr>
              <w:t xml:space="preserve">, filed with the SEC on May 5, 2026, and for the fiscal quarter ended </w:t>
            </w:r>
            <w:hyperlink r:id="rId6">
              <w:r>
                <w:rPr>
                  <w:rStyle w:val="InternetLink"/>
                  <w:rFonts w:ascii="Times New Roman" w:hAnsi="Times New Roman"/>
                  <w:sz w:val="20"/>
                </w:rPr>
                <w:t>June 30, 2026</w:t>
              </w:r>
            </w:hyperlink>
            <w:r>
              <w:rPr>
                <w:rFonts w:ascii="Times New Roman" w:hAnsi="Times New Roman"/>
                <w:sz w:val="20"/>
              </w:rPr>
              <w:t xml:space="preserve">, filed with the SEC on August 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Current Reports on Form 8-K filed on </w:t>
            </w:r>
            <w:hyperlink r:id="rId7">
              <w:r>
                <w:rPr>
                  <w:rStyle w:val="InternetLink"/>
                  <w:rFonts w:ascii="Times New Roman" w:hAnsi="Times New Roman"/>
                  <w:sz w:val="20"/>
                </w:rPr>
                <w:t>February 27, 2026</w:t>
              </w:r>
            </w:hyperlink>
            <w:r>
              <w:rPr>
                <w:rFonts w:ascii="Times New Roman" w:hAnsi="Times New Roman"/>
                <w:sz w:val="20"/>
              </w:rPr>
              <w:t xml:space="preserve">, </w:t>
            </w:r>
            <w:hyperlink r:id="rId8">
              <w:r>
                <w:rPr>
                  <w:rStyle w:val="InternetLink"/>
                  <w:rFonts w:ascii="Times New Roman" w:hAnsi="Times New Roman"/>
                  <w:sz w:val="20"/>
                </w:rPr>
                <w:t>March  11, 2026</w:t>
              </w:r>
            </w:hyperlink>
            <w:r>
              <w:rPr>
                <w:rFonts w:ascii="Times New Roman" w:hAnsi="Times New Roman"/>
                <w:sz w:val="20"/>
              </w:rPr>
              <w:t xml:space="preserve">, </w:t>
            </w:r>
            <w:hyperlink r:id="rId9">
              <w:r>
                <w:rPr>
                  <w:rStyle w:val="InternetLink"/>
                  <w:rFonts w:ascii="Times New Roman" w:hAnsi="Times New Roman"/>
                  <w:sz w:val="20"/>
                </w:rPr>
                <w:t>May  11, 2026</w:t>
              </w:r>
            </w:hyperlink>
            <w:r>
              <w:rPr>
                <w:rFonts w:ascii="Times New Roman" w:hAnsi="Times New Roman"/>
                <w:sz w:val="20"/>
              </w:rPr>
              <w:t xml:space="preserve"> and </w:t>
            </w:r>
            <w:hyperlink r:id="rId10">
              <w:r>
                <w:rPr>
                  <w:rStyle w:val="InternetLink"/>
                  <w:rFonts w:ascii="Times New Roman" w:hAnsi="Times New Roman"/>
                  <w:sz w:val="20"/>
                </w:rPr>
                <w:t>June  15, 2026</w:t>
              </w:r>
            </w:hyperlink>
            <w:r>
              <w:rPr>
                <w:rFonts w:ascii="Times New Roman" w:hAnsi="Times New Roman"/>
                <w:sz w:val="20"/>
              </w:rPr>
              <w:t xml:space="preserve"> (as amended by </w:t>
            </w:r>
            <w:hyperlink r:id="rId11">
              <w:r>
                <w:rPr>
                  <w:rStyle w:val="InternetLink"/>
                  <w:rFonts w:ascii="Times New Roman" w:hAnsi="Times New Roman"/>
                  <w:sz w:val="20"/>
                </w:rPr>
                <w:t>Form 8-K/A</w:t>
              </w:r>
            </w:hyperlink>
            <w:r>
              <w:rPr>
                <w:rFonts w:ascii="Times New Roman" w:hAnsi="Times New Roman"/>
                <w:sz w:val="20"/>
              </w:rPr>
              <w:t xml:space="preserve"> filed on July 1,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included in </w:t>
            </w:r>
            <w:hyperlink r:id="rId12">
              <w:r>
                <w:rPr>
                  <w:rStyle w:val="InternetLink"/>
                  <w:rFonts w:ascii="Times New Roman" w:hAnsi="Times New Roman"/>
                  <w:sz w:val="20"/>
                </w:rPr>
                <w:t>Exhibit 4.2</w:t>
              </w:r>
            </w:hyperlink>
            <w:r>
              <w:rPr>
                <w:rFonts w:ascii="Times New Roman" w:hAnsi="Times New Roman"/>
                <w:sz w:val="20"/>
              </w:rPr>
              <w:t xml:space="preserve"> to the 2025 Annual Report (which updates the description of our common stock contained in our Registration Statement on </w:t>
            </w:r>
            <w:hyperlink r:id="rId13">
              <w:r>
                <w:rPr>
                  <w:rStyle w:val="InternetLink"/>
                  <w:rFonts w:ascii="Times New Roman" w:hAnsi="Times New Roman"/>
                  <w:sz w:val="20"/>
                </w:rPr>
                <w:t xml:space="preserve">Form 8-A/A </w:t>
              </w:r>
            </w:hyperlink>
            <w:r>
              <w:rPr>
                <w:rFonts w:ascii="Times New Roman" w:hAnsi="Times New Roman"/>
                <w:sz w:val="20"/>
              </w:rPr>
              <w:t xml:space="preserve">filed with the SEC on October 17, 1997), including any amendments or reports filed with the SEC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incorporate by reference in this prospectus supplement any future filings made by Innovex with the SEC under Sections 13(a), 13(c), 14, or 15(d) of the Exchange Act (excluding any information furnished and not filed with the SEC) after the date of this prospectus supplement and before the termination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a document incorporated by reference herein shall be deemed to be modified or superseded for all purposes to the extent that a statement contained in this prospectus supplement or in any other subsequently filed document which is also incorporated or deemed to be incorporated by reference modifies or supersedes such statement. Any statement so modified or superseded shall not be deemed, except as so modified or superseded, to constitute a part of this prospectus supplement. You may request a copy of these filings (other than an exhibit to a filing unless that exhibit is specifically incorporated by reference into that filing) at no cost by writing or telephoning us at the following address and telephone number: </w:t>
      </w:r>
    </w:p>
    <w:p>
      <w:pPr>
        <w:pStyle w:val="TextBody"/>
        <w:bidi w:val="0"/>
        <w:spacing w:before="120" w:after="0"/>
        <w:jc w:val="center"/>
        <w:rPr>
          <w:rFonts w:ascii="Times New Roman" w:hAnsi="Times New Roman"/>
          <w:sz w:val="20"/>
        </w:rPr>
      </w:pPr>
      <w:r>
        <w:rPr>
          <w:rFonts w:ascii="Times New Roman" w:hAnsi="Times New Roman"/>
          <w:sz w:val="20"/>
        </w:rPr>
        <w:t xml:space="preserve">Innovex International, Inc.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19120 Kenswick Drive </w:t>
      </w:r>
    </w:p>
    <w:p>
      <w:pPr>
        <w:pStyle w:val="TextBody"/>
        <w:bidi w:val="0"/>
        <w:spacing w:before="0" w:after="0"/>
        <w:jc w:val="center"/>
        <w:rPr>
          <w:rFonts w:ascii="Times New Roman" w:hAnsi="Times New Roman"/>
          <w:sz w:val="20"/>
        </w:rPr>
      </w:pPr>
      <w:r>
        <w:rPr>
          <w:rFonts w:ascii="Times New Roman" w:hAnsi="Times New Roman"/>
          <w:sz w:val="20"/>
        </w:rPr>
        <w:t xml:space="preserve">Humble, Texas 77338 </w:t>
      </w:r>
    </w:p>
    <w:p>
      <w:pPr>
        <w:pStyle w:val="TextBody"/>
        <w:bidi w:val="0"/>
        <w:spacing w:before="0" w:after="0"/>
        <w:jc w:val="center"/>
        <w:rPr>
          <w:rFonts w:ascii="Times New Roman" w:hAnsi="Times New Roman"/>
          <w:sz w:val="20"/>
        </w:rPr>
      </w:pPr>
      <w:r>
        <w:rPr>
          <w:rFonts w:ascii="Times New Roman" w:hAnsi="Times New Roman"/>
          <w:sz w:val="20"/>
        </w:rPr>
        <w:t xml:space="preserve">(346) 398-0000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supprom32791_3"/>
      <w:bookmarkEnd w:id="5"/>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documents incorporated by reference herein and therein contain “forward-looking statements” within the meaning of Section 27A of the Securities Act, and Section 21E of the Exchange Act. Statements contained in all parts of this prospectus supplement that are not historical facts are forward-looking statements that involve risks and uncertainties that are beyond our control. You can identify our forward-looking statements by the words “anticipate,” “estimate,” “expect,” “may,” “project,” “believe” and similar expressions, or by our discussion of strategies or trends. Although we believe that the expectations reflected in such forward-looking statements are reasonable, no assurance can be given that these expectations will prove to be correct. These forward-looking statements include the following types of information and statements as they relate to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actions taken by the Organization of Petroleum Exporting Countries and the expanded alliance (OPEC+) with respect to their production levels, and the effects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global market conditions, political disturbances, war or other global conflicts (including the Russia-Ukraine conflict, the Iran conflict, and other conflicts in the Middle East), terrorist attacks, changes in global trade policies, tariffs and sanctions, weak local economic conditions, and international currency fluctuations;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general economic conditions, including inflationary pressures and interest rates, a general economic slowdown or recession or instability in financial institutions, on economic activity and on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operating results and cash flow;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scheduled, budgeted and other future capital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planned or estimated cost savings;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working capital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execute our strategies, including our ability to successfully identify and consummate strategic acquisitions;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need for and the availability of expected sources of liquidity;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comply with restrictions contained in our debt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generate sufficient cash to service our indebtedness, fund our capital requirements and generate future profits;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for our existing and future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develop new applications for our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introduction of new drilling or completion techniques, or services using new technologies subject to patent or other intellectual property protections and the availability and enforceability of such intellectual property protections;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and availability of alternative fuels and energy 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exploration, development and production activities of our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actions taken by our customers, competitors and third-party operators;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effects of pending or future legal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existing and future laws and governmental regulations (or the interpretation thereof) on us and our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customers’ future product and service requirements that may not be cost-effective or within our capabilities;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operations, financial results, business plans and cash needs.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statements are based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While it is not possible to identify all factors, we continue to face many risks and uncertainties. Among the factors that could cause actual future results to differ materially are (i) risks related to our merger and acquisition activities, including the ultimate outcome and results of integrating operations; the effects of our merger and acquisition activities, including our future financial condition, results of operations, strategy and plans; potential adverse reactions or changes to business relationships resulting from the completion of mergers and acquisitions; expected benefits from mergers and acquisitions and our ability to realize those benefits; the significant costs required to integrate operations; whether mergers or acquisitions related litigation will occur and, if so, the results of any litigation, settlements, and investigations; (ii) operating hazards, natural disasters, weather-related delays, casualty losses, and other matters beyond our control; (iii) acts of terrorism, war or political or civil unrest in the United States or elsewhere; (iv) loss or corruption of our information or a cyberattack on our computer systems; (v) uncertainties pertaining to the litigation filed by Impulse Downhole Solutions Ltd. and Impulse Downhole Tools USA Ltd. against Downhole Well Solutions, LLC (captioned Impulse Downhole Solutions Ltd., and Impulse Downhole Tools USA Ltd v. Downhole Well Solutions, LLC, Civil Action No. 4:23-cv-02954); and (vi) other risks and uncertainties discussed under “Risk Factors” in this prospectus supplement, Part I, Item 1A, “Risk Factors” of the 2025 Annual Report and in other filings made by us from time to time with the SEC. Many of such factors are beyond our ability to control or predict. Any of the factors, or a combination of these factors, could materially affect our future results of operations and the ultimate accuracy of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 except as may be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supprom32791_4"/>
      <w:bookmarkEnd w:id="6"/>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provides a brief overview of information contained elsewhere in this prospectus supplement. Because it is abbreviated, this summary does not contain all the information that you should consider before investing in our common stock. You should read the entire prospectus supplement, as well as the accompanying prospectus, and the documents incorporated by reference herein and therein, carefully. You should read “Risk Factors” for more information about important risks that you should consider carefully before investing in our common stock. References to the “selling stockholders” in this prospectus supplement refer to the selling stockholders named under “Selling Stockholders” that are offering shares of common stock in this offering.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Houston-based company established in 2024 following the merger of Dril-Quip, Inc. and Innovex Downhole Solutions, Inc. Our comprehensive portfolio spans the entire lifecycle of a well, and our integrated, innovative products enable seamless transitions from one well phase to the next, driving efficiency, lowering costs and reducing the customer’s rig site service footprint. With locations throughout North America, Latin America, Europe, the Middle East and Asia, our team is readily available wherever our customers operate, providing technical expertise, conventional and innovative technologies, and consistent, high-quality customer service.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Innovex International, Inc. is a Delaware corporation. Our principal executive offices are located at 19120 Kenswick Drive, Humble, Texas 77338, and our telephone number is (346) 398-0000. We maintain a website at www.innovex-inc.com. The information contained on, or accessible through, our website is not incorporated by reference into this prospectus supplement. We make available free of charge, through our website, our periodic reports and other information filed with or furnished to the SEC as soon as reasonably practicable after such material is electronically filed with or furnished to the SEC. Except for information specifically incorporated by reference into this prospectus supplement, the information contained on, or otherwise accessible through, our website or any other website does not constitute a part of this prospectus supplement.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Ongoing Acquisition and Investment Activities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regularly evaluate additional acquisition opportunities and frequently engage in discussions with potential sellers. We aim to execute a disciplined acquisition strategy for high-quality opportunities that meet our stringent investment criteria. The timeline required to negotiate and close on any one or more acquisition opportunities is at times unpredictable and can vary greatly.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acquisitions may require material investments and could result in significant modifications to our previously announced capital plans, both in the aggregate amount of capital expenditures to be made and a reallocation of capital. Our acquisitions are typically structured as cash, stock, or combined cash-and-stock purchase transactions, which we have historically funded with a mix of revolving credit facility borrowings, cash generated from operations, and debt and/or equity issuances.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Issuer </w:t>
            </w:r>
          </w:p>
        </w:tc>
        <w:tc>
          <w:tcPr>
            <w:tcW w:w="6327" w:type="dxa"/>
            <w:tcBorders/>
          </w:tcPr>
          <w:p>
            <w:pPr>
              <w:pStyle w:val="TableContents"/>
              <w:bidi w:val="0"/>
              <w:spacing w:before="0" w:after="283"/>
              <w:jc w:val="left"/>
              <w:rPr/>
            </w:pPr>
            <w:r>
              <w:rPr/>
              <w:t xml:space="preserve">Innovex International,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Common stock outstanding before this offering </w:t>
            </w:r>
          </w:p>
        </w:tc>
        <w:tc>
          <w:tcPr>
            <w:tcW w:w="6328" w:type="dxa"/>
            <w:tcBorders/>
          </w:tcPr>
          <w:p>
            <w:pPr>
              <w:pStyle w:val="TableContents"/>
              <w:bidi w:val="0"/>
              <w:spacing w:before="0" w:after="283"/>
              <w:jc w:val="left"/>
              <w:rPr/>
            </w:pPr>
            <w:r>
              <w:rPr/>
              <w:t xml:space="preserve">69,935,827 shares, which excludes approximately 5,814,574 shares of common stock reserved for issuance pursuant to our equity compensation plan and approximately 1,466,008 shares of common stock that have been granted pursuant to our equity compensation plan but have not yet vested.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Common stock offered by the selling stockholders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5,000,000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Common stock to be outstanding immediately after this offering</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69,935,827 shares, which excludes approximately 5,814,574 shares of common stock reserved for issuance pursuant to our equity compensation plan and approximately 1,466,008 shares of common stock that have been granted pursuant to our equity compensation plan but have not yet vested.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Use of proceeds </w:t>
            </w:r>
          </w:p>
        </w:tc>
        <w:tc>
          <w:tcPr>
            <w:tcW w:w="6329" w:type="dxa"/>
            <w:tcBorders/>
          </w:tcPr>
          <w:p>
            <w:pPr>
              <w:pStyle w:val="TableContents"/>
              <w:bidi w:val="0"/>
              <w:spacing w:before="0" w:after="283"/>
              <w:jc w:val="left"/>
              <w:rPr/>
            </w:pPr>
            <w:r>
              <w:rPr/>
              <w:t xml:space="preserve">We will not receive any of the proceeds from the sale of shares of our common stock by the selling stockholders in this offering. See “Use of Proceeds.”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Risk factors </w:t>
            </w:r>
          </w:p>
        </w:tc>
        <w:tc>
          <w:tcPr>
            <w:tcW w:w="6329" w:type="dxa"/>
            <w:tcBorders/>
          </w:tcPr>
          <w:p>
            <w:pPr>
              <w:pStyle w:val="TableContents"/>
              <w:bidi w:val="0"/>
              <w:spacing w:before="0" w:after="283"/>
              <w:jc w:val="left"/>
              <w:rPr/>
            </w:pPr>
            <w:r>
              <w:rPr/>
              <w:t xml:space="preserve">See “Risk Factors” beginning on page S-3 and the other information included in, or incorporated by reference into, this prospectus supplement and the accompanying prospectus for a discussion of certain factors you should carefully consider before deciding to invest in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Dividend policy </w:t>
            </w:r>
          </w:p>
        </w:tc>
        <w:tc>
          <w:tcPr>
            <w:tcW w:w="6328" w:type="dxa"/>
            <w:tcBorders/>
          </w:tcPr>
          <w:p>
            <w:pPr>
              <w:pStyle w:val="TableContents"/>
              <w:bidi w:val="0"/>
              <w:spacing w:before="0" w:after="283"/>
              <w:jc w:val="left"/>
              <w:rPr/>
            </w:pPr>
            <w:r>
              <w:rPr/>
              <w:t>We have not paid regular dividends in the past and do not currently anticipate paying any dividends in the foreseeable future. We intend to reinvest any retained earnings for the future operation and development of our business, or to use for potential stock repurchases or acquisition opportunities. The board of directors of the Company (the “</w:t>
            </w:r>
            <w:r>
              <w:rPr>
                <w:b/>
              </w:rPr>
              <w:t>Board</w:t>
            </w:r>
            <w:r>
              <w:rPr/>
              <w:t xml:space="preserve">”) will review this policy on a regular basis in light of our earnings, financial position and market opportunities. See “Dividend Policy.”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U.S. federal income tax considerations for non-U.S. holders </w:t>
            </w:r>
          </w:p>
        </w:tc>
        <w:tc>
          <w:tcPr>
            <w:tcW w:w="6328" w:type="dxa"/>
            <w:tcBorders/>
          </w:tcPr>
          <w:p>
            <w:pPr>
              <w:pStyle w:val="TableContents"/>
              <w:bidi w:val="0"/>
              <w:spacing w:before="0" w:after="283"/>
              <w:jc w:val="left"/>
              <w:rPr/>
            </w:pPr>
            <w:r>
              <w:rPr/>
              <w:t xml:space="preserve">For a discussion of U.S. federal income tax considerations that may be relevant for non-U.S. stockholders, see “Material U.S. Federal Income Tax Considerations for Non-U.S. 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Transfer agent and registrar </w:t>
            </w:r>
          </w:p>
        </w:tc>
        <w:tc>
          <w:tcPr>
            <w:tcW w:w="6327" w:type="dxa"/>
            <w:tcBorders/>
          </w:tcPr>
          <w:p>
            <w:pPr>
              <w:pStyle w:val="TableContents"/>
              <w:bidi w:val="0"/>
              <w:spacing w:before="0" w:after="283"/>
              <w:jc w:val="left"/>
              <w:rPr/>
            </w:pPr>
            <w:r>
              <w:rPr/>
              <w:t xml:space="preserve">Computershare Shareowner Services LLC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Listing and trading symbol </w:t>
            </w:r>
          </w:p>
        </w:tc>
        <w:tc>
          <w:tcPr>
            <w:tcW w:w="6330" w:type="dxa"/>
            <w:tcBorders/>
          </w:tcPr>
          <w:p>
            <w:pPr>
              <w:pStyle w:val="TableContents"/>
              <w:bidi w:val="0"/>
              <w:spacing w:before="0" w:after="283"/>
              <w:jc w:val="left"/>
              <w:rPr/>
            </w:pPr>
            <w:r>
              <w:rPr/>
              <w:t xml:space="preserve">Our common stock is traded on the NYSE under the symbol “INVX.”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rom32791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Any investment in shares of our common stock involves a high degree of risk. You should carefully consider the risks described below and all the information contained in this prospectus supplement, the accompanying prospectus, any free writing prospectus and the documents incorporated by reference herein and therein before deciding whether to purchase shares of our common stock. In particular you should carefully consider, among other things, the risks to our business and other matters described in the 2025 Annual Report, and other filings we make with the SEC incorporated by reference into this prospectus supplement and the accompanying prospectus. If any such risks and uncertainties actually occur, you may lose all or part of your investment. Additional risks and uncertainties not presently known to us or that we currently deem immaterial may also impair our business, financial condition or results of operations and result in a loss of all or part of your investment. </w:t>
      </w:r>
    </w:p>
    <w:p>
      <w:pPr>
        <w:pStyle w:val="TextBody"/>
        <w:bidi w:val="0"/>
        <w:spacing w:before="480" w:after="0"/>
        <w:jc w:val="center"/>
        <w:rPr>
          <w:rFonts w:ascii="Times New Roman" w:hAnsi="Times New Roman"/>
          <w:b/>
          <w:sz w:val="20"/>
        </w:rPr>
      </w:pPr>
      <w:r>
        <w:rPr>
          <w:rFonts w:ascii="Times New Roman" w:hAnsi="Times New Roman"/>
          <w:b/>
          <w:sz w:val="20"/>
        </w:rPr>
        <w:t xml:space="preserve">Risks Related to This Offering and Our Common Stock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market price of our common stock may be volatile. </w:t>
      </w:r>
    </w:p>
    <w:p>
      <w:pPr>
        <w:pStyle w:val="TextBody"/>
        <w:bidi w:val="0"/>
        <w:spacing w:before="120" w:after="0"/>
        <w:jc w:val="left"/>
        <w:rPr>
          <w:rFonts w:ascii="Times New Roman" w:hAnsi="Times New Roman"/>
          <w:sz w:val="20"/>
        </w:rPr>
      </w:pPr>
      <w:r>
        <w:rPr>
          <w:rFonts w:ascii="Times New Roman" w:hAnsi="Times New Roman"/>
          <w:sz w:val="20"/>
        </w:rPr>
        <w:t xml:space="preserve">The trading price of our common stock and the price at which we may sell common stock in the future are subject to large fluctuations in response to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limited trading volume in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quarterly variations in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financial market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prices of natural gas and oil;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us and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liquidity;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government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raise additional funds;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involvement in litigation; and other events.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Amberjack Capital Partners L.P. (“Amberjack”) and its affiliates have the ability to exercise significant influence over certain corporate actions. </w:t>
      </w:r>
    </w:p>
    <w:p>
      <w:pPr>
        <w:pStyle w:val="TextBody"/>
        <w:bidi w:val="0"/>
        <w:spacing w:before="120" w:after="0"/>
        <w:jc w:val="left"/>
        <w:rPr>
          <w:rFonts w:ascii="Times New Roman" w:hAnsi="Times New Roman"/>
          <w:sz w:val="20"/>
        </w:rPr>
      </w:pPr>
      <w:r>
        <w:rPr>
          <w:rFonts w:ascii="Times New Roman" w:hAnsi="Times New Roman"/>
          <w:sz w:val="20"/>
        </w:rPr>
        <w:t>Amberjack and its affiliates currently beneficially own approximately 33% of our outstanding common stock, and upon completion of this offering, Amberjack and its affiliates will continue to beneficially own approximately 26% of our outstanding common stock. As a result, these stockholders could continue to have significant influence over the outcome of matters requiring a stockholder vote, including the election of directors, the adoption of any amendment to our bylaws and the approval of mergers and other significant corporate transactions. Their influence over us may have the effect of delaying or preventing a change of control or may adversely affect the voting and other rights of other stockholders. In addition, pursuant to the terms of the stockholders’ agreement entered into in connection with the closing of the merger of Dril-Quip, Inc. and Innovex Downhole Solutions, Inc. (the “</w:t>
      </w:r>
      <w:r>
        <w:rPr>
          <w:rFonts w:ascii="Times New Roman" w:hAnsi="Times New Roman"/>
          <w:b/>
          <w:sz w:val="20"/>
        </w:rPr>
        <w:t>Merger</w:t>
      </w:r>
      <w:r>
        <w:rPr>
          <w:rFonts w:ascii="Times New Roman" w:hAnsi="Times New Roman"/>
          <w:sz w:val="20"/>
        </w:rPr>
        <w:t>”) (the “</w:t>
      </w:r>
      <w:r>
        <w:rPr>
          <w:rFonts w:ascii="Times New Roman" w:hAnsi="Times New Roman"/>
          <w:b/>
          <w:sz w:val="20"/>
        </w:rPr>
        <w:t>Stockholders Agreement</w:t>
      </w:r>
      <w:r>
        <w:rPr>
          <w:rFonts w:ascii="Times New Roman" w:hAnsi="Times New Roman"/>
          <w:sz w:val="20"/>
        </w:rPr>
        <w:t xml:space="preserve">”), subject to certain exceptions, Amberjack and its affiliates have the right to designate a certain number of nominees for election to our Board based on its ownership of common stock and will continue to have this right following completion of this offering. Under the Stockholders Agreement, Amberjack currently has the right to designate three nominees for election to our Board, but following this offering, Amberjack will have the right to designate only two nominees for election.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Sales of a substantial number of shares of common stock in the public markets, or the perception that such sales could occur, could reduce the market price of our common stock. </w:t>
      </w:r>
    </w:p>
    <w:p>
      <w:pPr>
        <w:pStyle w:val="TextBody"/>
        <w:bidi w:val="0"/>
        <w:spacing w:before="120" w:after="0"/>
        <w:jc w:val="left"/>
        <w:rPr>
          <w:rFonts w:ascii="Times New Roman" w:hAnsi="Times New Roman"/>
          <w:sz w:val="20"/>
        </w:rPr>
      </w:pPr>
      <w:r>
        <w:rPr>
          <w:rFonts w:ascii="Times New Roman" w:hAnsi="Times New Roman"/>
          <w:sz w:val="20"/>
        </w:rPr>
        <w:t>Sales of a substantial number of shares of common stock in the public markets, or the perception that such sales could occur, could reduce the market price of our common stock. Under the registration rights agreement, dated September 6, 2024 (the “</w:t>
      </w:r>
      <w:r>
        <w:rPr>
          <w:rFonts w:ascii="Times New Roman" w:hAnsi="Times New Roman"/>
          <w:b/>
          <w:sz w:val="20"/>
        </w:rPr>
        <w:t>Registration Rights Agreement</w:t>
      </w:r>
      <w:r>
        <w:rPr>
          <w:rFonts w:ascii="Times New Roman" w:hAnsi="Times New Roman"/>
          <w:sz w:val="20"/>
        </w:rPr>
        <w:t xml:space="preserve">”), among us and the selling stockholders, we agreed to register the resale of 29,369,822 shares of our common stock that were issued to the selling stockholders in the Merger. Following the completion of this offering, the selling stockholders will own 17,757,322 shares of our common stock that we have registered for resale. Subject to the restrictions set forth in the following paragraph, the selling stockholders may sell such shares in their discretion. We are unable to predict the effect that future sales by the selling stockholders or sales by other stockholders may have on the prevailing market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Subject to certain exceptions described in the “Underwriting” section of this prospectus supplement, we, our officers and directors and the selling stockholders have agreed to enter into lock-up agreements with the underwriter of this offering pursuant to which we and they have agreed, or will agree, that we and they will not sell, dispose of or hedge any shares of common stock or any securities convertible into or exchangeable for shares of common stock for a period of 45 days after the date of this prospectus supplement. The underwriter may permit us, our officers, our directors or the selling stockholders to sell shares prior to the end of the lock-up period. Sales of a substantial number of such shares upon expiration of, or the perception that such sales may occur, or early release of the securities subject to the lock-up agreements, could cause our stock price to fall or make it more difficult for you to sell common stock at a time and price that you deem appropriate.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Investors in this offering may experience future dilution. </w:t>
      </w:r>
    </w:p>
    <w:p>
      <w:pPr>
        <w:pStyle w:val="TextBody"/>
        <w:bidi w:val="0"/>
        <w:spacing w:before="120" w:after="0"/>
        <w:jc w:val="left"/>
        <w:rPr>
          <w:rFonts w:ascii="Times New Roman" w:hAnsi="Times New Roman"/>
          <w:sz w:val="20"/>
        </w:rPr>
      </w:pPr>
      <w:r>
        <w:rPr>
          <w:rFonts w:ascii="Times New Roman" w:hAnsi="Times New Roman"/>
          <w:sz w:val="20"/>
        </w:rPr>
        <w:t xml:space="preserve">In order to raise additional capital, effect acquisitions or for other purposes, we may in the future offer additional shares of common stock or other securities convertible into, or exchangeable for, common stock at prices that may be less than the price per share of this offering. We cannot assure you that we will be able to sell shares or other securities in any other offering at a price per share that is equal to or greater than the price per share paid by investors in this offering. If the price per share at which we sell additional shares of common stock or related securities in future transactions is less than the price per share in this offering, investors who purchase common stock in this offering will experience dilution of their investment. In addition, equity awards under our share-based compensation plan may result in further dilution.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Provisions in our certificate of incorporation and bylaws and under Delaware law could make an acquisition of the Company, which may be beneficial to our stockholders, more difficult and may prevent attempts by our stockholders to replace or remove our current management. </w:t>
      </w:r>
    </w:p>
    <w:p>
      <w:pPr>
        <w:pStyle w:val="TextBody"/>
        <w:bidi w:val="0"/>
        <w:spacing w:before="120" w:after="0"/>
        <w:jc w:val="left"/>
        <w:rPr>
          <w:rFonts w:ascii="Times New Roman" w:hAnsi="Times New Roman"/>
          <w:sz w:val="20"/>
        </w:rPr>
      </w:pPr>
      <w:r>
        <w:rPr>
          <w:rFonts w:ascii="Times New Roman" w:hAnsi="Times New Roman"/>
          <w:sz w:val="20"/>
        </w:rPr>
        <w:t xml:space="preserve">Provisions in our certificate of incorporation and our bylaws may discourage, delay or prevent a merger, acquisition or other change in control of the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is responsible for appointing the members of our management team, these provisions may frustrate or prevent any attempts by our stockholders to replace or remove our current management by making it more difficult for stockholders to replace members of our Board. Among other things, these provisions include those establishing: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relating to the classification, nomination and removal of our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regulating the ability of our stockholders to bring matters for action at annual meetings of our stockholders;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requiring the approval of the holders of at least 80% of our voting stock for a broad range of business combination transactions with related persons;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authorization given to our Board to issue and set the terms of preferred stock. </w:t>
            </w:r>
          </w:p>
        </w:tc>
      </w:tr>
    </w:tbl>
    <w:p>
      <w:pPr>
        <w:pStyle w:val="TextBody"/>
        <w:bidi w:val="0"/>
        <w:spacing w:before="240" w:after="0"/>
        <w:jc w:val="left"/>
        <w:rPr>
          <w:rFonts w:ascii="Times New Roman" w:hAnsi="Times New Roman"/>
          <w:sz w:val="20"/>
        </w:rPr>
      </w:pPr>
      <w:r>
        <w:rPr>
          <w:rFonts w:ascii="Times New Roman" w:hAnsi="Times New Roman"/>
          <w:sz w:val="20"/>
        </w:rPr>
        <w:t>In addition, Section 203 of the General Corporation Law of the State of Delaware (the “</w:t>
      </w:r>
      <w:r>
        <w:rPr>
          <w:rFonts w:ascii="Times New Roman" w:hAnsi="Times New Roman"/>
          <w:b/>
          <w:sz w:val="20"/>
        </w:rPr>
        <w:t>DGCL</w:t>
      </w:r>
      <w:r>
        <w:rPr>
          <w:rFonts w:ascii="Times New Roman" w:hAnsi="Times New Roman"/>
          <w:sz w:val="20"/>
        </w:rPr>
        <w:t xml:space="preserve">”) prohibits a publicly held Delaware corporation from engaging in a business combination with an interested stockholder, unless the business combination is approved in a prescribed manner. An interested stockholder includes a person, individually or together with any other interested stockholder, who within the last three years has owned 15% of our voting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anticipate declaring or paying any cash dividends to holders of our common stock in the foreseeable future, and our existing debt agreements place certain restrictions on our ability to do so. </w:t>
      </w:r>
    </w:p>
    <w:p>
      <w:pPr>
        <w:pStyle w:val="TextBody"/>
        <w:bidi w:val="0"/>
        <w:spacing w:before="120" w:after="0"/>
        <w:jc w:val="left"/>
        <w:rPr>
          <w:rFonts w:ascii="Times New Roman" w:hAnsi="Times New Roman"/>
          <w:sz w:val="20"/>
        </w:rPr>
      </w:pPr>
      <w:r>
        <w:rPr>
          <w:rFonts w:ascii="Times New Roman" w:hAnsi="Times New Roman"/>
          <w:sz w:val="20"/>
        </w:rPr>
        <w:t xml:space="preserve">We do not anticipate declaring or paying any cash dividends to holders of our common stock in the foreseeable future. We currently intend to retain all future earnings, if any, to finance the growth and development of our business, and the payment of future dividends will be at the discretion of our Board and will depend upon then-existing conditions, including our results of operations, financial condition, capital requirements, investment opportunities, statutory restrictions on our ability to pay dividends and other factors our Board may deem relevant. In addition, our existing debt agreements place, and we expect our future debt agreements will place, certain restrictions on our ability to pay cash dividends. Consequently, unless we revise our dividend policy, your only opportunity to achieve a return on your investment is if the price of our common stock appreciates. There is no guarantee that the price of our common stock that will prevail in the market will ever exceed the price that you pay in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rom32791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the sale of shares of common stock by the selling stockholders. The selling stockholders will receive all of the net proceeds from the sale of these shares. See “Selling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rom32791_7"/>
      <w:bookmarkEnd w:id="9"/>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not paid regular dividends in the past and do not currently anticipate paying any dividends in the foreseeable future. We intend to reinvest any retained earnings for the future operation and development of our business, or to use for potential stock repurchases or acquisition opportunities. Our Board will review this policy on a regular basis in light of our earnings, financial position and market opportunities.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rom32791_8"/>
      <w:bookmarkEnd w:id="10"/>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certain information known to us with respect to the beneficial ownership of the shares of common stock held by the selling stockholders before and after giving effect to this offering. The percent of beneficial ownership for the selling stockholders is based on 69,935,827 shares of common stock issued and outstanding as of August 4,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33"/>
        <w:gridCol w:w="75"/>
        <w:gridCol w:w="75"/>
        <w:gridCol w:w="1396"/>
        <w:gridCol w:w="75"/>
        <w:gridCol w:w="164"/>
        <w:gridCol w:w="76"/>
        <w:gridCol w:w="726"/>
        <w:gridCol w:w="275"/>
        <w:gridCol w:w="75"/>
        <w:gridCol w:w="78"/>
        <w:gridCol w:w="1279"/>
        <w:gridCol w:w="59"/>
        <w:gridCol w:w="145"/>
        <w:gridCol w:w="121"/>
        <w:gridCol w:w="2236"/>
        <w:gridCol w:w="121"/>
        <w:gridCol w:w="253"/>
        <w:gridCol w:w="121"/>
        <w:gridCol w:w="1140"/>
        <w:gridCol w:w="282"/>
      </w:tblGrid>
      <w:tr>
        <w:trPr/>
        <w:tc>
          <w:tcPr>
            <w:tcW w:w="1433"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143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2512" w:type="dxa"/>
            <w:gridSpan w:val="6"/>
            <w:tcBorders>
              <w:bottom w:val="single" w:sz="8" w:space="0" w:color="000000"/>
            </w:tcBorders>
            <w:tcMar>
              <w:bottom w:w="28" w:type="dxa"/>
            </w:tcMar>
            <w:vAlign w:val="bottom"/>
          </w:tcPr>
          <w:p>
            <w:pPr>
              <w:pStyle w:val="TableContents"/>
              <w:bidi w:val="0"/>
              <w:spacing w:before="0" w:after="283"/>
              <w:jc w:val="right"/>
              <w:rPr>
                <w:b/>
              </w:rPr>
            </w:pPr>
            <w:r>
              <w:rPr>
                <w:b/>
              </w:rPr>
              <w:t>Shares of common stock</w:t>
              <w:br/>
              <w:t>beneficially</w:t>
              <w:br/>
              <w:t>owned prior to the</w:t>
              <w:br/>
              <w:t>offering(1)</w:t>
            </w:r>
          </w:p>
        </w:tc>
        <w:tc>
          <w:tcPr>
            <w:tcW w:w="275" w:type="dxa"/>
            <w:tcBorders/>
            <w:vAlign w:val="bottom"/>
          </w:tcPr>
          <w:p>
            <w:pPr>
              <w:pStyle w:val="TableContents"/>
              <w:bidi w:val="0"/>
              <w:spacing w:before="0" w:after="283"/>
              <w:jc w:val="left"/>
              <w:rPr/>
            </w:pPr>
            <w:r>
              <w:rPr/>
              <w:t> </w:t>
            </w:r>
          </w:p>
        </w:tc>
        <w:tc>
          <w:tcPr>
            <w:tcW w:w="75" w:type="dxa"/>
            <w:vMerge w:val="restart"/>
            <w:tcBorders/>
            <w:vAlign w:val="bottom"/>
          </w:tcPr>
          <w:p>
            <w:pPr>
              <w:pStyle w:val="TableContents"/>
              <w:bidi w:val="0"/>
              <w:spacing w:before="0" w:after="283"/>
              <w:jc w:val="left"/>
              <w:rPr/>
            </w:pPr>
            <w:r>
              <w:rPr/>
              <w:t> </w:t>
            </w:r>
          </w:p>
        </w:tc>
        <w:tc>
          <w:tcPr>
            <w:tcW w:w="1357" w:type="dxa"/>
            <w:gridSpan w:val="2"/>
            <w:vMerge w:val="restart"/>
            <w:tcBorders>
              <w:bottom w:val="single" w:sz="8" w:space="0" w:color="000000"/>
            </w:tcBorders>
            <w:tcMar>
              <w:bottom w:w="28" w:type="dxa"/>
            </w:tcMar>
            <w:vAlign w:val="bottom"/>
          </w:tcPr>
          <w:p>
            <w:pPr>
              <w:pStyle w:val="TableContents"/>
              <w:bidi w:val="0"/>
              <w:spacing w:before="0" w:after="283"/>
              <w:jc w:val="right"/>
              <w:rPr>
                <w:b/>
              </w:rPr>
            </w:pPr>
            <w:r>
              <w:rPr>
                <w:b/>
              </w:rPr>
              <w:t>Shares of</w:t>
              <w:br/>
              <w:t>common</w:t>
              <w:br/>
              <w:t>stock</w:t>
              <w:br/>
              <w:t>being offered</w:t>
              <w:br/>
              <w:t>hereby</w:t>
            </w:r>
          </w:p>
        </w:tc>
        <w:tc>
          <w:tcPr>
            <w:tcW w:w="59" w:type="dxa"/>
            <w:vMerge w:val="restart"/>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3992" w:type="dxa"/>
            <w:gridSpan w:val="6"/>
            <w:tcBorders>
              <w:bottom w:val="single" w:sz="8" w:space="0" w:color="000000"/>
            </w:tcBorders>
            <w:tcMar>
              <w:bottom w:w="28" w:type="dxa"/>
            </w:tcMar>
            <w:vAlign w:val="bottom"/>
          </w:tcPr>
          <w:p>
            <w:pPr>
              <w:pStyle w:val="TableContents"/>
              <w:bidi w:val="0"/>
              <w:spacing w:before="0" w:after="283"/>
              <w:jc w:val="right"/>
              <w:rPr>
                <w:b/>
              </w:rPr>
            </w:pPr>
            <w:r>
              <w:rPr>
                <w:b/>
              </w:rPr>
              <w:t>Shares of common stock beneficially</w:t>
              <w:br/>
              <w:t>owned after completion of the offering(1)</w:t>
            </w:r>
          </w:p>
        </w:tc>
        <w:tc>
          <w:tcPr>
            <w:tcW w:w="282" w:type="dxa"/>
            <w:tcBorders/>
            <w:vAlign w:val="bottom"/>
          </w:tcPr>
          <w:p>
            <w:pPr>
              <w:pStyle w:val="TableContents"/>
              <w:bidi w:val="0"/>
              <w:spacing w:before="0" w:after="283"/>
              <w:jc w:val="left"/>
              <w:rPr/>
            </w:pPr>
            <w:r>
              <w:rPr/>
              <w:t> </w:t>
            </w:r>
          </w:p>
        </w:tc>
      </w:tr>
      <w:tr>
        <w:trPr/>
        <w:tc>
          <w:tcPr>
            <w:tcW w:w="143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selling</w:t>
              <w:br/>
              <w:t>stockholders(2)</w:t>
            </w:r>
          </w:p>
        </w:tc>
        <w:tc>
          <w:tcPr>
            <w:tcW w:w="75" w:type="dxa"/>
            <w:tcBorders/>
            <w:vAlign w:val="bottom"/>
          </w:tcPr>
          <w:p>
            <w:pPr>
              <w:pStyle w:val="TableContents"/>
              <w:bidi w:val="0"/>
              <w:spacing w:before="0" w:after="283"/>
              <w:jc w:val="left"/>
              <w:rPr/>
            </w:pPr>
            <w:r>
              <w:rPr/>
              <w:t> </w:t>
            </w:r>
          </w:p>
        </w:tc>
        <w:tc>
          <w:tcPr>
            <w:tcW w:w="14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7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75" w:type="dxa"/>
            <w:tcBorders/>
            <w:vAlign w:val="bottom"/>
          </w:tcPr>
          <w:p>
            <w:pPr>
              <w:pStyle w:val="TableContents"/>
              <w:bidi w:val="0"/>
              <w:spacing w:before="0" w:after="283"/>
              <w:jc w:val="left"/>
              <w:rPr/>
            </w:pPr>
            <w:r>
              <w:rPr/>
              <w:t> </w:t>
            </w:r>
          </w:p>
        </w:tc>
        <w:tc>
          <w:tcPr>
            <w:tcW w:w="75" w:type="dxa"/>
            <w:vMerge w:val="continue"/>
            <w:tcBorders/>
            <w:vAlign w:val="bottom"/>
          </w:tcPr>
          <w:p>
            <w:pPr>
              <w:pStyle w:val="Normal"/>
              <w:bidi w:val="0"/>
              <w:jc w:val="left"/>
              <w:rPr/>
            </w:pPr>
            <w:r>
              <w:rPr/>
            </w:r>
          </w:p>
        </w:tc>
        <w:tc>
          <w:tcPr>
            <w:tcW w:w="1357" w:type="dxa"/>
            <w:gridSpan w:val="2"/>
            <w:vMerge w:val="continue"/>
            <w:tcBorders>
              <w:bottom w:val="single" w:sz="8" w:space="0" w:color="000000"/>
            </w:tcBorders>
            <w:tcMar>
              <w:bottom w:w="28" w:type="dxa"/>
            </w:tcMar>
            <w:vAlign w:val="bottom"/>
          </w:tcPr>
          <w:p>
            <w:pPr>
              <w:pStyle w:val="Normal"/>
              <w:bidi w:val="0"/>
              <w:jc w:val="left"/>
              <w:rPr/>
            </w:pPr>
            <w:r>
              <w:rPr/>
            </w:r>
          </w:p>
        </w:tc>
        <w:tc>
          <w:tcPr>
            <w:tcW w:w="59" w:type="dxa"/>
            <w:vMerge w:val="continue"/>
            <w:tcBorders/>
            <w:vAlign w:val="bottom"/>
          </w:tcPr>
          <w:p>
            <w:pPr>
              <w:pStyle w:val="Normal"/>
              <w:bidi w:val="0"/>
              <w:jc w:val="left"/>
              <w:rPr/>
            </w:pPr>
            <w:r>
              <w:rPr/>
            </w:r>
          </w:p>
        </w:tc>
        <w:tc>
          <w:tcPr>
            <w:tcW w:w="145" w:type="dxa"/>
            <w:tcBorders/>
            <w:vAlign w:val="bottom"/>
          </w:tcPr>
          <w:p>
            <w:pPr>
              <w:pStyle w:val="TableContents"/>
              <w:bidi w:val="0"/>
              <w:spacing w:before="0" w:after="283"/>
              <w:jc w:val="left"/>
              <w:rPr/>
            </w:pPr>
            <w:r>
              <w:rPr/>
              <w:t>  </w:t>
            </w:r>
          </w:p>
        </w:tc>
        <w:tc>
          <w:tcPr>
            <w:tcW w:w="23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121"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2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82" w:type="dxa"/>
            <w:tcBorders/>
            <w:vAlign w:val="bottom"/>
          </w:tcPr>
          <w:p>
            <w:pPr>
              <w:pStyle w:val="TableContents"/>
              <w:bidi w:val="0"/>
              <w:spacing w:before="0" w:after="283"/>
              <w:jc w:val="left"/>
              <w:rPr/>
            </w:pPr>
            <w:r>
              <w:rPr/>
              <w:t> </w:t>
            </w:r>
          </w:p>
        </w:tc>
      </w:tr>
      <w:tr>
        <w:trPr/>
        <w:tc>
          <w:tcPr>
            <w:tcW w:w="14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Amberjack Capital Fund II, L.P.</w:t>
            </w:r>
          </w:p>
        </w:tc>
        <w:tc>
          <w:tcPr>
            <w:tcW w:w="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right"/>
              <w:rPr/>
            </w:pPr>
            <w:r>
              <w:rPr/>
              <w:t>16,871,374</w:t>
            </w:r>
          </w:p>
        </w:tc>
        <w:tc>
          <w:tcPr>
            <w:tcW w:w="7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24.12</w:t>
            </w:r>
          </w:p>
        </w:tc>
        <w:tc>
          <w:tcPr>
            <w:tcW w:w="2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3,706,801</w:t>
            </w:r>
          </w:p>
        </w:tc>
        <w:tc>
          <w:tcPr>
            <w:tcW w:w="5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2236" w:type="dxa"/>
            <w:tcBorders/>
            <w:shd w:fill="CCEEFF" w:val="clear"/>
            <w:vAlign w:val="bottom"/>
          </w:tcPr>
          <w:p>
            <w:pPr>
              <w:pStyle w:val="TableContents"/>
              <w:bidi w:val="0"/>
              <w:spacing w:before="0" w:after="283"/>
              <w:jc w:val="right"/>
              <w:rPr/>
            </w:pPr>
            <w:r>
              <w:rPr/>
              <w:t>13,164,573</w:t>
            </w:r>
          </w:p>
        </w:tc>
        <w:tc>
          <w:tcPr>
            <w:tcW w:w="121"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18.82</w:t>
            </w:r>
          </w:p>
        </w:tc>
        <w:tc>
          <w:tcPr>
            <w:tcW w:w="282" w:type="dxa"/>
            <w:tcBorders/>
            <w:shd w:fill="CCEEFF" w:val="clear"/>
            <w:vAlign w:val="bottom"/>
          </w:tcPr>
          <w:p>
            <w:pPr>
              <w:pStyle w:val="TableContents"/>
              <w:bidi w:val="0"/>
              <w:spacing w:before="0" w:after="283"/>
              <w:jc w:val="left"/>
              <w:rPr/>
            </w:pPr>
            <w:r>
              <w:rPr/>
              <w:t>% </w:t>
            </w:r>
          </w:p>
        </w:tc>
      </w:tr>
      <w:tr>
        <w:trPr/>
        <w:tc>
          <w:tcPr>
            <w:tcW w:w="1433" w:type="dxa"/>
            <w:tcBorders/>
          </w:tcPr>
          <w:p>
            <w:pPr>
              <w:pStyle w:val="TableContents"/>
              <w:bidi w:val="0"/>
              <w:spacing w:before="0" w:after="0"/>
              <w:jc w:val="left"/>
              <w:rPr>
                <w:rFonts w:ascii="Times New Roman" w:hAnsi="Times New Roman"/>
                <w:sz w:val="20"/>
              </w:rPr>
            </w:pPr>
            <w:r>
              <w:rPr>
                <w:rFonts w:ascii="Times New Roman" w:hAnsi="Times New Roman"/>
                <w:sz w:val="20"/>
              </w:rPr>
              <w:t>Innovex Co-Invest Fund II, L.P.</w:t>
            </w:r>
          </w:p>
        </w:tc>
        <w:tc>
          <w:tcPr>
            <w:tcW w:w="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right"/>
              <w:rPr/>
            </w:pPr>
            <w:r>
              <w:rPr/>
              <w:t>3,939,330</w:t>
            </w:r>
          </w:p>
        </w:tc>
        <w:tc>
          <w:tcPr>
            <w:tcW w:w="7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5.63</w:t>
            </w:r>
          </w:p>
        </w:tc>
        <w:tc>
          <w:tcPr>
            <w:tcW w:w="2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279" w:type="dxa"/>
            <w:tcBorders/>
            <w:vAlign w:val="bottom"/>
          </w:tcPr>
          <w:p>
            <w:pPr>
              <w:pStyle w:val="TableContents"/>
              <w:bidi w:val="0"/>
              <w:spacing w:before="0" w:after="283"/>
              <w:jc w:val="right"/>
              <w:rPr/>
            </w:pPr>
            <w:r>
              <w:rPr/>
              <w:t>865,508</w:t>
            </w:r>
          </w:p>
        </w:tc>
        <w:tc>
          <w:tcPr>
            <w:tcW w:w="5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2236" w:type="dxa"/>
            <w:tcBorders/>
            <w:vAlign w:val="bottom"/>
          </w:tcPr>
          <w:p>
            <w:pPr>
              <w:pStyle w:val="TableContents"/>
              <w:bidi w:val="0"/>
              <w:spacing w:before="0" w:after="283"/>
              <w:jc w:val="right"/>
              <w:rPr/>
            </w:pPr>
            <w:r>
              <w:rPr/>
              <w:t>3,073,822</w:t>
            </w:r>
          </w:p>
        </w:tc>
        <w:tc>
          <w:tcPr>
            <w:tcW w:w="121"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4.40</w:t>
            </w:r>
          </w:p>
        </w:tc>
        <w:tc>
          <w:tcPr>
            <w:tcW w:w="282" w:type="dxa"/>
            <w:tcBorders/>
            <w:vAlign w:val="bottom"/>
          </w:tcPr>
          <w:p>
            <w:pPr>
              <w:pStyle w:val="TableContents"/>
              <w:bidi w:val="0"/>
              <w:spacing w:before="0" w:after="283"/>
              <w:jc w:val="left"/>
              <w:rPr/>
            </w:pPr>
            <w:r>
              <w:rPr/>
              <w:t>% </w:t>
            </w:r>
          </w:p>
        </w:tc>
      </w:tr>
      <w:tr>
        <w:trPr/>
        <w:tc>
          <w:tcPr>
            <w:tcW w:w="14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Innovex Co-Invest Fund, L.P.</w:t>
            </w:r>
          </w:p>
        </w:tc>
        <w:tc>
          <w:tcPr>
            <w:tcW w:w="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right"/>
              <w:rPr/>
            </w:pPr>
            <w:r>
              <w:rPr/>
              <w:t>933,624</w:t>
            </w:r>
          </w:p>
        </w:tc>
        <w:tc>
          <w:tcPr>
            <w:tcW w:w="7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1.33</w:t>
            </w:r>
          </w:p>
        </w:tc>
        <w:tc>
          <w:tcPr>
            <w:tcW w:w="2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205,126</w:t>
            </w:r>
          </w:p>
        </w:tc>
        <w:tc>
          <w:tcPr>
            <w:tcW w:w="5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2236" w:type="dxa"/>
            <w:tcBorders/>
            <w:shd w:fill="CCEEFF" w:val="clear"/>
            <w:vAlign w:val="bottom"/>
          </w:tcPr>
          <w:p>
            <w:pPr>
              <w:pStyle w:val="TableContents"/>
              <w:bidi w:val="0"/>
              <w:spacing w:before="0" w:after="283"/>
              <w:jc w:val="right"/>
              <w:rPr/>
            </w:pPr>
            <w:r>
              <w:rPr/>
              <w:t>728,498</w:t>
            </w:r>
          </w:p>
        </w:tc>
        <w:tc>
          <w:tcPr>
            <w:tcW w:w="121"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1.04</w:t>
            </w:r>
          </w:p>
        </w:tc>
        <w:tc>
          <w:tcPr>
            <w:tcW w:w="282" w:type="dxa"/>
            <w:tcBorders/>
            <w:shd w:fill="CCEEFF" w:val="clear"/>
            <w:vAlign w:val="bottom"/>
          </w:tcPr>
          <w:p>
            <w:pPr>
              <w:pStyle w:val="TableContents"/>
              <w:bidi w:val="0"/>
              <w:spacing w:before="0" w:after="283"/>
              <w:jc w:val="left"/>
              <w:rPr/>
            </w:pPr>
            <w:r>
              <w:rPr/>
              <w:t>% </w:t>
            </w:r>
          </w:p>
        </w:tc>
      </w:tr>
      <w:tr>
        <w:trPr/>
        <w:tc>
          <w:tcPr>
            <w:tcW w:w="1433" w:type="dxa"/>
            <w:tcBorders/>
          </w:tcPr>
          <w:p>
            <w:pPr>
              <w:pStyle w:val="TableContents"/>
              <w:bidi w:val="0"/>
              <w:spacing w:before="0" w:after="0"/>
              <w:jc w:val="left"/>
              <w:rPr>
                <w:rFonts w:ascii="Times New Roman" w:hAnsi="Times New Roman"/>
                <w:sz w:val="20"/>
              </w:rPr>
            </w:pPr>
            <w:r>
              <w:rPr>
                <w:rFonts w:ascii="Times New Roman" w:hAnsi="Times New Roman"/>
                <w:sz w:val="20"/>
              </w:rPr>
              <w:t>Intervale Capital Fund II, L.P.</w:t>
            </w:r>
          </w:p>
        </w:tc>
        <w:tc>
          <w:tcPr>
            <w:tcW w:w="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right"/>
              <w:rPr/>
            </w:pPr>
            <w:r>
              <w:rPr/>
              <w:t>805,355</w:t>
            </w:r>
          </w:p>
        </w:tc>
        <w:tc>
          <w:tcPr>
            <w:tcW w:w="7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1.15</w:t>
            </w:r>
          </w:p>
        </w:tc>
        <w:tc>
          <w:tcPr>
            <w:tcW w:w="2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279" w:type="dxa"/>
            <w:tcBorders/>
            <w:vAlign w:val="bottom"/>
          </w:tcPr>
          <w:p>
            <w:pPr>
              <w:pStyle w:val="TableContents"/>
              <w:bidi w:val="0"/>
              <w:spacing w:before="0" w:after="283"/>
              <w:jc w:val="right"/>
              <w:rPr/>
            </w:pPr>
            <w:r>
              <w:rPr/>
              <w:t>176,944</w:t>
            </w:r>
          </w:p>
        </w:tc>
        <w:tc>
          <w:tcPr>
            <w:tcW w:w="5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2236" w:type="dxa"/>
            <w:tcBorders/>
            <w:vAlign w:val="bottom"/>
          </w:tcPr>
          <w:p>
            <w:pPr>
              <w:pStyle w:val="TableContents"/>
              <w:bidi w:val="0"/>
              <w:spacing w:before="0" w:after="283"/>
              <w:jc w:val="right"/>
              <w:rPr/>
            </w:pPr>
            <w:r>
              <w:rPr/>
              <w:t>628,411</w:t>
            </w:r>
          </w:p>
        </w:tc>
        <w:tc>
          <w:tcPr>
            <w:tcW w:w="121"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0.90</w:t>
            </w:r>
          </w:p>
        </w:tc>
        <w:tc>
          <w:tcPr>
            <w:tcW w:w="282" w:type="dxa"/>
            <w:tcBorders/>
            <w:vAlign w:val="bottom"/>
          </w:tcPr>
          <w:p>
            <w:pPr>
              <w:pStyle w:val="TableContents"/>
              <w:bidi w:val="0"/>
              <w:spacing w:before="0" w:after="283"/>
              <w:jc w:val="left"/>
              <w:rPr/>
            </w:pPr>
            <w:r>
              <w:rPr/>
              <w:t>% </w:t>
            </w:r>
          </w:p>
        </w:tc>
      </w:tr>
      <w:tr>
        <w:trPr/>
        <w:tc>
          <w:tcPr>
            <w:tcW w:w="14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Intervale Capital Fund II-A, L.P.</w:t>
            </w:r>
          </w:p>
        </w:tc>
        <w:tc>
          <w:tcPr>
            <w:tcW w:w="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right"/>
              <w:rPr/>
            </w:pPr>
            <w:r>
              <w:rPr/>
              <w:t>399</w:t>
            </w:r>
          </w:p>
        </w:tc>
        <w:tc>
          <w:tcPr>
            <w:tcW w:w="7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0.00</w:t>
            </w:r>
          </w:p>
        </w:tc>
        <w:tc>
          <w:tcPr>
            <w:tcW w:w="2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88</w:t>
            </w:r>
          </w:p>
        </w:tc>
        <w:tc>
          <w:tcPr>
            <w:tcW w:w="5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2236" w:type="dxa"/>
            <w:tcBorders/>
            <w:shd w:fill="CCEEFF" w:val="clear"/>
            <w:vAlign w:val="bottom"/>
          </w:tcPr>
          <w:p>
            <w:pPr>
              <w:pStyle w:val="TableContents"/>
              <w:bidi w:val="0"/>
              <w:spacing w:before="0" w:after="283"/>
              <w:jc w:val="right"/>
              <w:rPr/>
            </w:pPr>
            <w:r>
              <w:rPr/>
              <w:t>311</w:t>
            </w:r>
          </w:p>
        </w:tc>
        <w:tc>
          <w:tcPr>
            <w:tcW w:w="121"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0.00</w:t>
            </w:r>
          </w:p>
        </w:tc>
        <w:tc>
          <w:tcPr>
            <w:tcW w:w="282" w:type="dxa"/>
            <w:tcBorders/>
            <w:shd w:fill="CCEEFF" w:val="clear"/>
            <w:vAlign w:val="bottom"/>
          </w:tcPr>
          <w:p>
            <w:pPr>
              <w:pStyle w:val="TableContents"/>
              <w:bidi w:val="0"/>
              <w:spacing w:before="0" w:after="283"/>
              <w:jc w:val="left"/>
              <w:rPr/>
            </w:pPr>
            <w:r>
              <w:rPr/>
              <w:t>% </w:t>
            </w:r>
          </w:p>
        </w:tc>
      </w:tr>
      <w:tr>
        <w:trPr/>
        <w:tc>
          <w:tcPr>
            <w:tcW w:w="1433" w:type="dxa"/>
            <w:tcBorders/>
          </w:tcPr>
          <w:p>
            <w:pPr>
              <w:pStyle w:val="TableContents"/>
              <w:bidi w:val="0"/>
              <w:spacing w:before="0" w:after="0"/>
              <w:jc w:val="left"/>
              <w:rPr>
                <w:rFonts w:ascii="Times New Roman" w:hAnsi="Times New Roman"/>
                <w:sz w:val="20"/>
              </w:rPr>
            </w:pPr>
            <w:r>
              <w:rPr>
                <w:rFonts w:ascii="Times New Roman" w:hAnsi="Times New Roman"/>
                <w:sz w:val="20"/>
              </w:rPr>
              <w:t>Intervale Capital Fund III, L.P.</w:t>
            </w:r>
          </w:p>
        </w:tc>
        <w:tc>
          <w:tcPr>
            <w:tcW w:w="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right"/>
              <w:rPr/>
            </w:pPr>
            <w:r>
              <w:rPr/>
              <w:t>207,240</w:t>
            </w:r>
          </w:p>
        </w:tc>
        <w:tc>
          <w:tcPr>
            <w:tcW w:w="7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0.30</w:t>
            </w:r>
          </w:p>
        </w:tc>
        <w:tc>
          <w:tcPr>
            <w:tcW w:w="2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279" w:type="dxa"/>
            <w:tcBorders/>
            <w:vAlign w:val="bottom"/>
          </w:tcPr>
          <w:p>
            <w:pPr>
              <w:pStyle w:val="TableContents"/>
              <w:bidi w:val="0"/>
              <w:spacing w:before="0" w:after="283"/>
              <w:jc w:val="right"/>
              <w:rPr/>
            </w:pPr>
            <w:r>
              <w:rPr/>
              <w:t>45,533</w:t>
            </w:r>
          </w:p>
        </w:tc>
        <w:tc>
          <w:tcPr>
            <w:tcW w:w="5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2236" w:type="dxa"/>
            <w:tcBorders/>
            <w:vAlign w:val="bottom"/>
          </w:tcPr>
          <w:p>
            <w:pPr>
              <w:pStyle w:val="TableContents"/>
              <w:bidi w:val="0"/>
              <w:spacing w:before="0" w:after="283"/>
              <w:jc w:val="right"/>
              <w:rPr/>
            </w:pPr>
            <w:r>
              <w:rPr/>
              <w:t>161,707</w:t>
            </w:r>
          </w:p>
        </w:tc>
        <w:tc>
          <w:tcPr>
            <w:tcW w:w="121"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0.23</w:t>
            </w:r>
          </w:p>
        </w:tc>
        <w:tc>
          <w:tcPr>
            <w:tcW w:w="282"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Beneficial ownership is determined in accordance with the rules of the SEC, pursuant to which a person is deemed to be a “beneficial owner” of a security if that person has or shares voting power, which includes the power to vote or direct the voting of such security, or investment power, which includes the power to dispose of or to direct the disposition of such security. Under these rules, more than one person may be deemed a beneficial owner of the same securities, and a person may be deemed a beneficial owner of securities as to which such person has no economic interest.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Funds affiliated with Amberjack Capital Partners, L.P. (“</w:t>
            </w:r>
            <w:r>
              <w:rPr>
                <w:rFonts w:ascii="Times New Roman" w:hAnsi="Times New Roman"/>
                <w:b/>
                <w:sz w:val="20"/>
              </w:rPr>
              <w:t>Amberjack Capital Partners</w:t>
            </w:r>
            <w:r>
              <w:rPr>
                <w:rFonts w:ascii="Times New Roman" w:hAnsi="Times New Roman"/>
                <w:sz w:val="20"/>
              </w:rPr>
              <w:t>” or “</w:t>
            </w:r>
            <w:r>
              <w:rPr>
                <w:rFonts w:ascii="Times New Roman" w:hAnsi="Times New Roman"/>
                <w:b/>
                <w:sz w:val="20"/>
              </w:rPr>
              <w:t>Amberjack</w:t>
            </w:r>
            <w:r>
              <w:rPr>
                <w:rFonts w:ascii="Times New Roman" w:hAnsi="Times New Roman"/>
                <w:sz w:val="20"/>
              </w:rPr>
              <w:t>”) are our principal stockholders (referred to in this prospectus as the “</w:t>
            </w:r>
            <w:r>
              <w:rPr>
                <w:rFonts w:ascii="Times New Roman" w:hAnsi="Times New Roman"/>
                <w:b/>
                <w:sz w:val="20"/>
              </w:rPr>
              <w:t>Amberjack Funds</w:t>
            </w:r>
            <w:r>
              <w:rPr>
                <w:rFonts w:ascii="Times New Roman" w:hAnsi="Times New Roman"/>
                <w:sz w:val="20"/>
              </w:rPr>
              <w:t>”). The general partner of (i) Amberjack Capital Fund II, L.P. is Amberjack Capital GP II, L.P., and the general partner of such general partner is Amberjack Capital Associates II, LLC, (ii) Innovex Co-Invest Fund II, L.P. is Innovex Co-Invest Fund II GP, L.P., and the general partner of such general partner is Innovex Co-Invest Associates, LLC, (iii) Innovex Co-Invest Fund, L.P. is Innovex Co-Invest Fund GP, L.P., and the general partner of such general partner is Innovex Co-Invest Associates, LLC, (iv) Intervale Capital Fund II, L.P. is Intervale Capital GP II, L.P., and the general partner of such general partner is Intervale Capital Associates II, LLC, (v) Intervale Capital Fund II-A, L.P. is Intervale Capital GP II, L.P., and the general partner of such general partner is Intervale Capital Associates II, LLC, and (vi) Intervale Capital Fund III, L.P. is Intervale Capital GP III, L.P., and the general partner of such general partner is Intervale Capital Associates III, LLC. By virtue of their relationships, the foregoing general partners control all voting and dispositive power over the reported shares held by such Amberjack Fund and therefore may be deemed to be the beneficial owner of such shares. The member of Amberjack Capital Associates II, LLC, Innovex Co-Invest Associates, LLC, Intervale Capital Associates II, LLC and Intervale Capital Associates III, LLC is Jason Turowsky. Amberjack Capital Partners is the investment advisor of the Amberjack Funds and the general partner of Amberjack Capital Partners is Amberjack Management, LLC (“</w:t>
            </w:r>
            <w:r>
              <w:rPr>
                <w:rFonts w:ascii="Times New Roman" w:hAnsi="Times New Roman"/>
                <w:b/>
                <w:sz w:val="20"/>
              </w:rPr>
              <w:t>Amberjack Management</w:t>
            </w:r>
            <w:r>
              <w:rPr>
                <w:rFonts w:ascii="Times New Roman" w:hAnsi="Times New Roman"/>
                <w:sz w:val="20"/>
              </w:rPr>
              <w:t xml:space="preserve">”). In its role as investment advisor, Amberjack Capital Partners controls all voting and dispositive power over the reported shares held by all the Amberjack Funds and therefore may be deemed to be the beneficial owner of such shares. The address of the Amberjack Funds, Amberjack Capital Partners, Amberjack Management and the other general partners identified above is 4400 Post Oak Parkway, Suite 2760, Houston, Texas 77027. Mr. Turowsky is managing partner of Amberjack Management. The address of Mr. Turowsky is 4400 Post Oak Parkway, Suite 2760, Houston, Texas 77027. Mr. Turowsky disclaims beneficial ownership of such securities in excess of his pecuniary interests in the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MATERIAL RELATIONSHIPS WITH THE SELLING STOCKHOLDERS </w:t>
      </w:r>
    </w:p>
    <w:p>
      <w:pPr>
        <w:pStyle w:val="TextBody"/>
        <w:bidi w:val="0"/>
        <w:spacing w:before="240" w:after="0"/>
        <w:jc w:val="left"/>
        <w:rPr>
          <w:rFonts w:ascii="Times New Roman" w:hAnsi="Times New Roman"/>
          <w:b/>
          <w:sz w:val="20"/>
        </w:rPr>
      </w:pPr>
      <w:r>
        <w:rPr>
          <w:rFonts w:ascii="Times New Roman" w:hAnsi="Times New Roman"/>
          <w:b/>
          <w:sz w:val="20"/>
        </w:rPr>
        <w:t xml:space="preserve">Stockholders’ Agreement </w:t>
      </w:r>
    </w:p>
    <w:p>
      <w:pPr>
        <w:pStyle w:val="TextBody"/>
        <w:bidi w:val="0"/>
        <w:spacing w:before="120" w:after="0"/>
        <w:jc w:val="left"/>
        <w:rPr>
          <w:rFonts w:ascii="Times New Roman" w:hAnsi="Times New Roman"/>
          <w:sz w:val="20"/>
        </w:rPr>
      </w:pPr>
      <w:r>
        <w:rPr>
          <w:rFonts w:ascii="Times New Roman" w:hAnsi="Times New Roman"/>
          <w:sz w:val="20"/>
        </w:rPr>
        <w:t xml:space="preserve">On September 6, 2024, we entered into the Stockholders’ Agreement with Amberjack and the selling stockholders. The Stockholders’ Agreement provides, among other things,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Amberjack has the right, but not the obligation, to designate for nomination by the Company to the Board a number of designees (the “</w:t>
            </w:r>
            <w:r>
              <w:rPr>
                <w:rFonts w:ascii="Times New Roman" w:hAnsi="Times New Roman"/>
                <w:b/>
                <w:sz w:val="20"/>
              </w:rPr>
              <w:t>Amberjack Designees</w:t>
            </w:r>
            <w:r>
              <w:rPr>
                <w:rFonts w:ascii="Times New Roman" w:hAnsi="Times New Roman"/>
                <w:sz w:val="20"/>
              </w:rPr>
              <w:t>”) equal to: (i) four directors, so long as the Stockholders (as defined in the Stockholders’ Agreement) collectively beneficially own 40% or more of the number of shares of common stock outstanding as of the effective time of the Merger (the “</w:t>
            </w:r>
            <w:r>
              <w:rPr>
                <w:rFonts w:ascii="Times New Roman" w:hAnsi="Times New Roman"/>
                <w:b/>
                <w:sz w:val="20"/>
              </w:rPr>
              <w:t>Effective Time</w:t>
            </w:r>
            <w:r>
              <w:rPr>
                <w:rFonts w:ascii="Times New Roman" w:hAnsi="Times New Roman"/>
                <w:sz w:val="20"/>
              </w:rPr>
              <w:t xml:space="preserve">”); (ii) three directors, in the event that the Stockholders collectively beneficially own less than 40% but at least 30% of the number of shares of common stock outstanding as of the Effective Time; (iii) two directors in the event that the Stockholders collectively beneficially own less than 30% but at least 20% of the number of shares of common stock outstanding as of the Effective Time; and (iv) one director in the event that the Stockholders collectively beneficially own less than 20% but at least 10% of the number of shares of common stock outstanding as of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so long as Amberjack maintains the right to nominate three or more directors, at least one such designee must be independent and at least two must not be employees or affiliates of Amberjack. All nomination rights terminate permanently if the Stockholders’ collective beneficial ownership falls below 10% of the Company’s outstanding at the Effective Time (giving effect to the Merger issuance), with all current Amberjack designees included in the calculation of these nomination thresholds regardless of their specific election cycle;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so long as Amberjack has the right to designate at least one Amberjack Designee to the Board, we have agreed to take all necessary action, and, if applicable, the Stockholders have agreed to vote their respective shares, to cause the election of the person who is then serving as the Chief Executive Officer of the Company and each Amberjack Designee to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will be divided into three classes of directors, with each class serving staggered three-year terms in accordance with our certificate of incorporation and, unless otherwise requested by Amberjack, each Amberjack Designee, if any, will be assigned (or continue to be assigned) to the classes specified in the merger agreement for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during the period from and after the closing date of the Merger until the date that Amberjack ceases to have the right to nominate any designees to the Board pursuant to the Stockholders’ Agreement (the “</w:t>
            </w:r>
            <w:r>
              <w:rPr>
                <w:rFonts w:ascii="Times New Roman" w:hAnsi="Times New Roman"/>
                <w:b/>
                <w:sz w:val="20"/>
              </w:rPr>
              <w:t>Standstill Period</w:t>
            </w:r>
            <w:r>
              <w:rPr>
                <w:rFonts w:ascii="Times New Roman" w:hAnsi="Times New Roman"/>
                <w:sz w:val="20"/>
              </w:rPr>
              <w:t xml:space="preserve">”) and subject to certain exceptions, Amberjack will have the right to request that a representative of Amberjack attend meetings of the Board (and any committee of which an Amberjack Designee is a member, to the extent consistent with applicable law)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until the end of the Standstill Period and subject to certain exceptions, the Company will provide Amberjack or its authorized representatives, at reasonable times and upon reasonable prior notice to the Company, with (i) reasonable access to the books and records of the Company or any of its material subsidiaries and (ii) the right to discuss the Company’s or its material subsidiaries’ affairs, finances and condition with its and their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to the fullest extent permitted by the DGCL and subject to applicable legal requirements and any express agreement, the Company has agreed that the selling stockholders and their respective affiliates and each Amberjack Designee that is also a director, officer, employee or other representative of Amberjack (collectively, the “</w:t>
            </w:r>
            <w:r>
              <w:rPr>
                <w:rFonts w:ascii="Times New Roman" w:hAnsi="Times New Roman"/>
                <w:b/>
                <w:sz w:val="20"/>
              </w:rPr>
              <w:t>Covered Persons</w:t>
            </w:r>
            <w:r>
              <w:rPr>
                <w:rFonts w:ascii="Times New Roman" w:hAnsi="Times New Roman"/>
                <w:sz w:val="20"/>
              </w:rPr>
              <w:t xml:space="preserve">”) may, and shall have no duty not to, (i) invest in, carry on and conduct any business of any kind, nature or description, whether or not such business is competitive with or in the same or similar lines of business as the Company or any of its subsidiaries, (ii) do business with any client, customer, vendor or lessor of any of the Company or its affiliates, and/or (iii) make investments in any kind of property in which the Company or its subsidiaries may make investments. To the fullest extent permitted by the DGCL or any other applicable law,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renounces any interest or expectancy to participate in any business, business opportunity, transaction, investment or other matter of any Covered Person as currently conducted or as may be conducted in the future, and waives any claim against a Covered Person and shall indemnify a Covered Person against any claim that such Covered Person is liable to the Company or its stockholders for breach of any fiduciary duty or otherwise solely by reason of such Covered Person’s participation in, or failure to offer or communicate to the Company, its subsidiaries or any controlled affiliates any information regarding, any such business opportunity;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Standstill Period and subject to certain exceptions, the Stockholders and each of their respective affiliates will be subject to certain restrictions relating to (i) the acquisition of additional shares of our common stock, (ii) the solicitation of proxies with respect to voting of any Voting Securities (as defined in the Stockholders’ Agreement), (iii) the deposit of any Voting Securities into a voting trust or subjecting such Voting Securities to any voting agreement, pooling arrangement or similar arrangement, or the grant of any proxy with respect to such Voting Securities, (iv) actions to change management of the Company or the Board other than pursuant to the provisions of the Stockholders’ Agreement, (v) actions regarding any merger, consolidation, business combination, tender or exchange offer, restructuring, recapitalization or other extraordinary transaction of or involving the Company or any of its subsidiaries or their securities or assets, or (vi) actions that would reasonably be expected to cause or require the Company to make a public announcement regarding any actions prohibited by the Stockholders’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Standstill Period, the Stockholders will cause all Voting Securities then owned by the Stockholders to be present, in person or by proxy, at any meeting of the stockholders of the Company occurring at which an election of directors is to be held, so that all such Voting Securities will be counted for the purpose of determining the presence of a quorum at such meeting.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we entered into the Registration Rights Agreement with the selling stockholders. The Registration Rights Agreement generally obligates us to cooperate with the selling stockholders in effecting the disposition of their shares of our common stock by such methods as the selling stockholders may request, including through underwritten offerings and block trades.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Rights Agreement includes provisions, subject to certain exceptions, that if at any time we propose to register an offering of our common stock or conduct an underwritten offering, whether or not for our own account, then we would be required to notify the selling stockholders and allow them to include a specified number of their shares of our common stock in that registration statement or underwritten offering,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These registration rights are subject to certain conditions and limitations, and we will generally be obligated to pay all registration expenses in connection with these registration obligations, regardless of whether or not any registrable securities are sold pursuant to a registration statement. The Registration Rights Agreement will also require us to indemnify each of the selling stockholders against certain liabilities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rom32791_9"/>
      <w:bookmarkEnd w:id="11"/>
      <w:r>
        <w:rPr>
          <w:rFonts w:ascii="Times New Roman" w:hAnsi="Times New Roman"/>
          <w:b/>
          <w:sz w:val="20"/>
        </w:rPr>
        <w:t xml:space="preserve">MATERIAL U.S. FEDERAL INCOME TAX CONSIDERATIONS FOR NON-U.S. HOLDERS </w:t>
      </w:r>
    </w:p>
    <w:p>
      <w:pPr>
        <w:pStyle w:val="TextBody"/>
        <w:bidi w:val="0"/>
        <w:spacing w:before="240" w:after="0"/>
        <w:jc w:val="left"/>
        <w:rPr>
          <w:rFonts w:ascii="Times New Roman" w:hAnsi="Times New Roman"/>
          <w:sz w:val="20"/>
        </w:rPr>
      </w:pPr>
      <w:r>
        <w:rPr>
          <w:rFonts w:ascii="Times New Roman" w:hAnsi="Times New Roman"/>
          <w:sz w:val="20"/>
        </w:rPr>
        <w:t>The following is a summary of certain material U.S. federal income tax considerations related to the acquisition, ownership and disposition of common stock acquired pursuant to this offering by a non-U.S. holder (as defined below). This summary does not purport to be a complete analysis of all potential tax considerations related thereto. This summary is limited to non-U.S. holders who hold shares of common stock as capital assets within the meaning of Section 1221 of the Internal Revenue Code of 1986, as amended (the “</w:t>
      </w:r>
      <w:r>
        <w:rPr>
          <w:rFonts w:ascii="Times New Roman" w:hAnsi="Times New Roman"/>
          <w:b/>
          <w:sz w:val="20"/>
        </w:rPr>
        <w:t>Code</w:t>
      </w:r>
      <w:r>
        <w:rPr>
          <w:rFonts w:ascii="Times New Roman" w:hAnsi="Times New Roman"/>
          <w:sz w:val="20"/>
        </w:rPr>
        <w:t xml:space="preserve">”) (generally, for investment purposes). </w:t>
      </w:r>
    </w:p>
    <w:p>
      <w:pPr>
        <w:pStyle w:val="TextBody"/>
        <w:bidi w:val="0"/>
        <w:spacing w:before="240" w:after="0"/>
        <w:jc w:val="left"/>
        <w:rPr>
          <w:rFonts w:ascii="Times New Roman" w:hAnsi="Times New Roman"/>
          <w:sz w:val="20"/>
        </w:rPr>
      </w:pPr>
      <w:r>
        <w:rPr>
          <w:rFonts w:ascii="Times New Roman" w:hAnsi="Times New Roman"/>
          <w:sz w:val="20"/>
        </w:rPr>
        <w:t>This summary is based on the current provisions of the Code, final, temporary and proposed U.S. Treasury regulations promulgated thereunder, administrative rulings and pronouncements and judicial decisions and published positions of the Internal Revenue Service (the “</w:t>
      </w:r>
      <w:r>
        <w:rPr>
          <w:rFonts w:ascii="Times New Roman" w:hAnsi="Times New Roman"/>
          <w:b/>
          <w:sz w:val="20"/>
        </w:rPr>
        <w:t>IRS</w:t>
      </w:r>
      <w:r>
        <w:rPr>
          <w:rFonts w:ascii="Times New Roman" w:hAnsi="Times New Roman"/>
          <w:sz w:val="20"/>
        </w:rPr>
        <w:t xml:space="preserve">”), all as in effect on the date hereof, and all of which are subject to change or differing interpretations, possibly with retroactive effect, so as to result in U.S. federal income tax consequences different than those set forth below. We have not sought and will not seek any ruling from the IRS with respect to the statements made and the conclusions reached in the following summary, and there can be no assurance that the IRS or a court will agree with such statements and conclusions or that a court would not sustain any challenge by the IRS in the event of litigation. </w:t>
      </w:r>
    </w:p>
    <w:p>
      <w:pPr>
        <w:pStyle w:val="TextBody"/>
        <w:bidi w:val="0"/>
        <w:spacing w:before="240" w:after="0"/>
        <w:jc w:val="left"/>
        <w:rPr>
          <w:rFonts w:ascii="Times New Roman" w:hAnsi="Times New Roman"/>
          <w:sz w:val="20"/>
        </w:rPr>
      </w:pPr>
      <w:r>
        <w:rPr>
          <w:rFonts w:ascii="Times New Roman" w:hAnsi="Times New Roman"/>
          <w:sz w:val="20"/>
        </w:rPr>
        <w:t xml:space="preserve">This summary does not address all aspects of U.S. federal income taxation that may be relevant to non-U.S. holders in light of their particular circumstances. In addition, this summary does not address the Medicare tax on certain investment income, U.S. federal estate or gift tax laws, any state, local or non-U.S. tax laws or any tax treaties. This summary also does not address tax considerations applicable to investors that may be subject to special treatment under the U.S. federal income tax laws, such as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direct, indirect or constructive owner of the selling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or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qualified foreign pension funds defined in Section 897(l)(2) of the Code (or any entities all of the interests of which are held by a qualified foreign pension 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or dealers in securities or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traders in securities that use the mark-to-market method of accounting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the alternative minimum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S corporations or other pass-through entities for U.S. federal income tax purposes or holders of interests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controlled foreign corporations,” “passive foreign investment companies”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acquired common stock through the exercise of employee stock options or otherwise as compensation or through a tax-qualified retirement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former citizens or long-term residents of the United States;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hold common stock as part of a straddle, appreciated financial position, synthetic security, hedge, conversion transaction, wash sale or other integrated investment or risk reduction transaction.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THIS DISCUSSION IS FOR INFORMATION PURPOSES ONLY AND IS NOT INTENDED AS TAX ADVICE. PROSPECTIVE INVESTORS ARE URGED TO CONSULT THEIR TAX ADVISORS WITH RESPECT TO THE APPLICATION OF THE U.S. FEDERAL INCOME TAX LAWS TO THEIR PARTICULAR SITUATION, AS WELL AS ANY TAX CONSIDERATIONS RELATING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ACQUISITION, OWNERSHIP AND DISPOSITION OF COMMON STOCK ARISING UNDER THE U.S. FEDERAL ESTATE OR GIFT TAX LAWS OR UNDER THE LAWS OF ANY STATE, LOCAL, NON-U.S. OR OTHER TAXING JURISDICTION OR UNDER ANY APPLICABLE INCOME TAX TREATY. </w:t>
      </w:r>
    </w:p>
    <w:p>
      <w:pPr>
        <w:pStyle w:val="TextBody"/>
        <w:bidi w:val="0"/>
        <w:spacing w:before="360" w:after="0"/>
        <w:jc w:val="left"/>
        <w:rPr>
          <w:rFonts w:ascii="Times New Roman" w:hAnsi="Times New Roman"/>
          <w:b/>
          <w:sz w:val="20"/>
        </w:rPr>
      </w:pPr>
      <w:r>
        <w:rPr>
          <w:rFonts w:ascii="Times New Roman" w:hAnsi="Times New Roman"/>
          <w:b/>
          <w:sz w:val="20"/>
        </w:rPr>
        <w:t xml:space="preserve">Non-U.S. Holder Defined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“non-U.S. holder” is a beneficial owner of common stock that is not, for U.S. federal income tax purposes, a partnership (or an investor therein) or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treated as a corporation for U.S.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 the administration of which is subject to the primary supervision of a U.S. court and which has one or more United States persons (within the meaning of Section 7701(a)(30) of the Code) who have the authority to control all substantial decisions of the trust or (ii) which has made a valid election under applicable U.S. Treasury regulations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partnership (including an entity or arrangement treated as a partnership for U.S. federal income tax purposes) holds common stock, the tax treatment of a partner in the partnership generally will depend upon the status of the partner, upon the activities of the partnership and the partner, and upon certain determinations made at the partner level. Accordingly, we urge partnerships and partners in partnerships (including entities or arrangements treated as partnerships for U.S. federal income tax purposes) considering investing in our common stock to consult their tax advisors regarding the U.S. federal income tax considerations relating to the acquisition, ownership and disposition of common stock by such partnership. </w:t>
      </w:r>
    </w:p>
    <w:p>
      <w:pPr>
        <w:pStyle w:val="TextBody"/>
        <w:bidi w:val="0"/>
        <w:spacing w:before="360" w:after="0"/>
        <w:jc w:val="left"/>
        <w:rPr>
          <w:rFonts w:ascii="Times New Roman" w:hAnsi="Times New Roman"/>
          <w:b/>
          <w:sz w:val="20"/>
        </w:rPr>
      </w:pPr>
      <w:r>
        <w:rPr>
          <w:rFonts w:ascii="Times New Roman" w:hAnsi="Times New Roman"/>
          <w:b/>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If we make cash or other property distributions on the common stock, other than certain pro rata distributions of common stock, such distributions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 distributions will be treated as a non-taxable return of capital, which will reduce the non-U.S. holder’s tax basis in the common stock until such basis equals zero, and thereafter as capital gain from the sale or exchange of such common stock. See “-Gain on Disposition of Common Stock.” Subject to the withholding requirements applicable under FATCA (as defined below) and with respect to effectively connected dividends, each of which is discussed below, any dividends paid to a non-U.S. holder on the common stock generally will be subject to U.S. federal withholding tax at a rate of 30% of the gross amount of the dividend unless an applicable income tax treaty provides for a lower rate. To receive the benefit of a reduced treaty rate, a non-U.S. holder must generally provide the applicable withholding agent with a properly completed and executed IRS Form W-8BEN, IRS Form W-8BEN-E or other applicable or successor form certifying qualification for the reduced rate. Even if our current or accumulated earnings and profits are less than the amount of the distribution, the applicable withholding agent may elect to treat the entire distribution as a dividend for U.S. federal withholding purposes. A non-U.S. holder that does not timely furnish the required documentation, but that qualifies for a reduced treaty rate, may obtain a refund of any excess amounts withheld by timely filing an appropriate claim for refund with the IRS. </w:t>
      </w:r>
    </w:p>
    <w:p>
      <w:pPr>
        <w:pStyle w:val="TextBody"/>
        <w:bidi w:val="0"/>
        <w:spacing w:before="240" w:after="0"/>
        <w:jc w:val="left"/>
        <w:rPr>
          <w:rFonts w:ascii="Times New Roman" w:hAnsi="Times New Roman"/>
          <w:sz w:val="20"/>
        </w:rPr>
      </w:pPr>
      <w:r>
        <w:rPr>
          <w:rFonts w:ascii="Times New Roman" w:hAnsi="Times New Roman"/>
          <w:sz w:val="20"/>
        </w:rPr>
        <w:t xml:space="preserve">Dividends paid to a non-U.S. holder that are effectively connected with a trade or business conducted by the non-U.S. holder in the United States (and, if required by an applicable income tax treaty, are treated as attributable to a permanent establishment maintained by the non-U.S. holder in the United States) generally will be taxed on a net income basis at the rates and in the manner generally applicable to United States persons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defined under the Code). Such effectively connected dividends will not be subject to U.S. federal withholding tax if the non-U.S. holder satisfies certain certification requirements by providing the applicable withholding agent with a properly completed and executed IRS Form W-8ECI (or other applicable or successor form) certifying eligibility for exemption. If the non-U.S. holder is treated as a corporation for U.S. federal income tax purposes, it may also be subject to a branch profits tax at a 30% rate (or such lower rate as may be specified by an applicable income tax treaty) on its effectively connected earnings and profits (as adjusted for certain items), which will include effectively connected dividends. </w:t>
      </w:r>
    </w:p>
    <w:p>
      <w:pPr>
        <w:pStyle w:val="TextBody"/>
        <w:bidi w:val="0"/>
        <w:spacing w:before="240" w:after="0"/>
        <w:jc w:val="left"/>
        <w:rPr>
          <w:rFonts w:ascii="Times New Roman" w:hAnsi="Times New Roman"/>
          <w:sz w:val="20"/>
        </w:rPr>
      </w:pPr>
      <w:r>
        <w:rPr>
          <w:rFonts w:ascii="Times New Roman" w:hAnsi="Times New Roman"/>
          <w:sz w:val="20"/>
        </w:rPr>
        <w:t xml:space="preserve">Non-U.S. holders should consult their tax advisors regarding the withholding rules applicable to distributions on our common stock, their entitlement to benefits under an applicable income tax treaty and the manner of claiming the benefits of such treaty. </w:t>
      </w:r>
    </w:p>
    <w:p>
      <w:pPr>
        <w:pStyle w:val="TextBody"/>
        <w:bidi w:val="0"/>
        <w:spacing w:before="360" w:after="0"/>
        <w:jc w:val="left"/>
        <w:rPr>
          <w:rFonts w:ascii="Times New Roman" w:hAnsi="Times New Roman"/>
          <w:b/>
          <w:sz w:val="20"/>
        </w:rPr>
      </w:pPr>
      <w:r>
        <w:rPr>
          <w:rFonts w:ascii="Times New Roman" w:hAnsi="Times New Roman"/>
          <w:b/>
          <w:sz w:val="20"/>
        </w:rPr>
        <w:t xml:space="preserve">Gain on Disposition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below under “-Backup Withholding and Information Reporting” and “-Additional Withholding Requirements Under FATCA,” a non-U.S. holder generally will not be subject to U.S. federal income or withholding tax on any gain realized upon the sale or other taxable disposition of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an individual who has been present in the United States for 183 days or more during the calendar year in which the sale or disposition occurs and certain other conditions are met;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a trade or business conducted by the non-U.S. holder in the United States (and, if required by an applicable income tax treaty, is attributable to a permanent establishment maintained by the non-U.S. holder in the United States);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our common stock constitutes a United States real property interest by reason of our status as a United States real property holding corporation (a “</w:t>
            </w:r>
            <w:r>
              <w:rPr>
                <w:rFonts w:ascii="Times New Roman" w:hAnsi="Times New Roman"/>
                <w:b/>
                <w:sz w:val="20"/>
              </w:rPr>
              <w:t>USRPHC</w:t>
            </w:r>
            <w:r>
              <w:rPr>
                <w:rFonts w:ascii="Times New Roman" w:hAnsi="Times New Roman"/>
                <w:sz w:val="20"/>
              </w:rPr>
              <w:t xml:space="preserve">”)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non-U.S. holder described in the first bullet point above will be subject to U.S. federal income tax at a rate of 30% (or such lower rate as specified by an applicable income tax treaty) on the amount of such gain, which generally may be offset by U.S. source capital losses.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(as defined under the Code) unless an applicable income tax treaty provides otherwise. If such non-U.S. holder is treated as a corporation for U.S. federal income tax purposes, it may also be subject to a branch profits tax (at a 30% rate or such lower rate as may be specified by an applicable income tax treaty) on its effectively connected earnings and profits (as adjusted for certain items), which will include any effectively connected gain described in the second bullet point above. </w:t>
      </w:r>
    </w:p>
    <w:p>
      <w:pPr>
        <w:pStyle w:val="TextBody"/>
        <w:bidi w:val="0"/>
        <w:spacing w:before="240" w:after="0"/>
        <w:jc w:val="left"/>
        <w:rPr>
          <w:rFonts w:ascii="Times New Roman" w:hAnsi="Times New Roman"/>
          <w:sz w:val="20"/>
        </w:rPr>
      </w:pPr>
      <w:r>
        <w:rPr>
          <w:rFonts w:ascii="Times New Roman" w:hAnsi="Times New Roman"/>
          <w:sz w:val="20"/>
        </w:rPr>
        <w:t xml:space="preserve">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not a USRPHC for U.S. federal income tax purposes, and, although there can be no assurances to this regard, we do not expect to become a USRPHC for the foreseeable future. However, in the event that we become a USRPHC, as long as our common stock is and continues to be “regularly traded on an established securities market,” (within the meaning of the U.S. Treasury regulations) only a non-U.S. holder that actually or constructively owns, or owned at any time during the shorter of the five-year period ending on the date of the disposition or the non-U.S. holder’s holding period for the common stock, more than 5% of our common stock will be treated as disposing of a U.S. real property interest and will be taxable on gain realized on the disposition of our common stock as a result of our status as a USRPHC. If we were to become a USRPHC and our common stock were not considered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regularly traded on an established securities market, a non-U.S. holder (regardless of the percentage of stock owned) would be treated as disposing of a U.S. real property interest and would be subject to U.S. federal income tax on a taxable disposition of our common stock (as described in the preceding paragraph), and a 15% withholding tax would apply to the gross proceeds from such disposition (and to any distributions treated as a non-taxable return of capital or capital gain from the sale or exchange of such common stock as described above under “—Distributions”). Non-U.S. holders should consult their tax advisors with respect to the application of the foregoing rules to their ownership and disposition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Non-U.S. holders, including any non-U.S. holder that actually or constructively owns, or owned at any time during the shorter of the five-year period ending on the date of the disposition or the non-U.S. holder’s holding period for the common stock, more than 5% of the common stock, should consult their tax advisors regarding the application of these rules to their particular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Generally, we must report annually to the IRS and to each non-U.S. holder the amount of distributions paid to such holder, the name and address of the recipient, and the amount, if any, of tax withheld with respect to those distributions. These information reporting requirements apply even if withholding was not required. Copies of these information returns may also be made available to the tax authorities in the country in which the non-U.S. holder resides or is established. Payments of dividends to a non-U.S. holder generally will not be subject to backup withholding if the non-U.S. holder establishes an exemption by properly certifying its non-U.S. status on an IRS Form W-8BEN, IRS Form W-8BEN-E or other applicable or successor form, provided that the withholding agent does not have actual knowledge or reason to know, that the beneficial owner is a United States person that is not an exempt recipient. </w:t>
      </w:r>
    </w:p>
    <w:p>
      <w:pPr>
        <w:pStyle w:val="TextBody"/>
        <w:bidi w:val="0"/>
        <w:spacing w:before="240" w:after="0"/>
        <w:jc w:val="left"/>
        <w:rPr>
          <w:rFonts w:ascii="Times New Roman" w:hAnsi="Times New Roman"/>
          <w:sz w:val="20"/>
        </w:rPr>
      </w:pPr>
      <w:r>
        <w:rPr>
          <w:rFonts w:ascii="Times New Roman" w:hAnsi="Times New Roman"/>
          <w:sz w:val="20"/>
        </w:rPr>
        <w:t xml:space="preserve">Payments of the proceeds from a sale or other disposition by a non-U.S. holder of common stock effected by or through a U.S. office of a broker generally will be subject to information reporting and backup withholding (at the applicable rate, which is currently 24%) unless the non-U.S. holder establishes an exemption by properly certifying its non-U.S. status on an IRS Form W-8BEN, IRS Form W-8BEN-E or other applicable or successor form and certain other conditions are met. Information reporting and backup withholding generally will not apply to any payment of the proceeds from a sale or other disposition of common stock effected outside the United States by a non-U.S. office of a broker. However, unless such broker has documentary evidence in its records that the non-U.S. holder is not a United States person and certain other conditions are met, or the non-U.S. holder otherwise establishes an exemption, information reporting will apply to a payment of the proceeds of the disposition of common stock effected outside the United States by such a broker if it has certain relationships within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Rather, the U.S. federal income tax liability (if any) of persons subject to backup withholding will be reduced by the amount of tax withheld. If backup withholding results in an overpayment of taxes, a refund may be obtained, provided that the required information is timely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Withholding Requirements under FATCA </w:t>
      </w:r>
    </w:p>
    <w:p>
      <w:pPr>
        <w:pStyle w:val="TextBody"/>
        <w:bidi w:val="0"/>
        <w:spacing w:before="120" w:after="0"/>
        <w:jc w:val="left"/>
        <w:rPr>
          <w:rFonts w:ascii="Times New Roman" w:hAnsi="Times New Roman"/>
          <w:sz w:val="20"/>
        </w:rPr>
      </w:pPr>
      <w:r>
        <w:rPr>
          <w:rFonts w:ascii="Times New Roman" w:hAnsi="Times New Roman"/>
          <w:sz w:val="20"/>
        </w:rPr>
        <w:t xml:space="preserve">Sections 1471 through 1474 of the Code, and the U.S. Treasury regulations and administrative guidance issued thereunder (FATCA), impose a 30% withholding tax on any dividends paid on the common stock and (subject to the proposed U.S. Treasury regulations discussed below) on the gross proceeds from a sale or other disposition of common stock, in each case,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provides the applicable withholding agent with a certification identifying the direct and indirect substantial United States owners of the entity (in either case, on a properly completed and executed IRS Form W-8BEN-E or successor form, as applicable), or (iii) the foreign financial institution or non-financial foreign entity otherwise qualifies for an exemption from these rules and provides appropriate documentation (such as a properly completed and executed IRS Form W-8BEN-E or successor form, as applicable). Foreign financial institutions located in jurisdictions that have an intergovernmental agreement with the United States governing these rules may be subject to different rules. Under certain circumstances, a holder might be eligible for refunds or credits of such taxes. The U.S. Treasury released proposed Treasury regulations which, if finalized in their present form, would eliminate the federal withholding tax of 30% applicable to the gross proceeds of a sale or other disposition of our common stock. In its preamble to such proposed Treasury regulations, the U.S. Treasury stated that taxpayers may generally rely on the proposed regulations until final regulations are issued. Non-U.S. holders are encouraged to consult their tax advisors regarding the effects of FATCA on their investment in our common stock. </w:t>
      </w:r>
    </w:p>
    <w:p>
      <w:pPr>
        <w:pStyle w:val="TextBody"/>
        <w:bidi w:val="0"/>
        <w:spacing w:before="240" w:after="0"/>
        <w:jc w:val="left"/>
        <w:rPr>
          <w:rFonts w:ascii="Times New Roman" w:hAnsi="Times New Roman"/>
          <w:b/>
          <w:sz w:val="20"/>
        </w:rPr>
      </w:pPr>
      <w:r>
        <w:rPr>
          <w:rFonts w:ascii="Times New Roman" w:hAnsi="Times New Roman"/>
          <w:b/>
          <w:sz w:val="20"/>
        </w:rPr>
        <w:t xml:space="preserve">INVESTORS CONSIDERING THE PURCHASE OF COMMON STOCK ARE URGED TO CONSULT THEIR TAX ADVISORS REGARDING THE APPLICATION OF THE U.S. FEDERAL INCOME TAX LAWS TO THEIR PARTICULAR SITUATIONS AND THE APPLICABILITY AND EFFECT OF U.S. FEDERAL ESTATE AND GIFT TAX LAWS AND ANY STATE, LOCAL OR NON-U.S. TAX LAWS AND TAX TREATIES.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rom32791_10"/>
      <w:bookmarkEnd w:id="12"/>
      <w:r>
        <w:rPr>
          <w:rFonts w:ascii="Times New Roman" w:hAnsi="Times New Roman"/>
          <w:b/>
          <w:sz w:val="20"/>
        </w:rPr>
        <w:t xml:space="preserve">CERTAIN ERISA CONSIDERATIONS </w:t>
      </w:r>
    </w:p>
    <w:p>
      <w:pPr>
        <w:pStyle w:val="TextBody"/>
        <w:bidi w:val="0"/>
        <w:spacing w:before="240" w:after="0"/>
        <w:jc w:val="left"/>
        <w:rPr>
          <w:rFonts w:ascii="Times New Roman" w:hAnsi="Times New Roman"/>
          <w:sz w:val="20"/>
        </w:rPr>
      </w:pPr>
      <w:r>
        <w:rPr>
          <w:rFonts w:ascii="Times New Roman" w:hAnsi="Times New Roman"/>
          <w:sz w:val="20"/>
        </w:rPr>
        <w:t>The following is a summary of certain considerations associated with the acquisition and holding of shares of common stock by employee benefit plans that are subject to Title I of the Employee Retirement Income Security Act of 1974, as amended (“</w:t>
      </w:r>
      <w:r>
        <w:rPr>
          <w:rFonts w:ascii="Times New Roman" w:hAnsi="Times New Roman"/>
          <w:b/>
          <w:sz w:val="20"/>
        </w:rPr>
        <w:t>ERISA</w:t>
      </w:r>
      <w:r>
        <w:rPr>
          <w:rFonts w:ascii="Times New Roman" w:hAnsi="Times New Roman"/>
          <w:sz w:val="20"/>
        </w:rPr>
        <w:t>”), plans, individual retirement accounts and other arrangements that are subject to Section 4975 of the Code or employee benefit plans that are governmental plans (as defined in Section 3(32) of ERISA), certain church plans (as defined in Section 3(33) of ERISA), non-United States plans (as described in Section 4(b)(4) of ERISA) or other plans that are not subject to the foregoing but may be subject to provisions under any other federal, state, local, non-United States or other laws or regulations that are similar to such provisions of ERISA or the Code (collectively, “</w:t>
      </w:r>
      <w:r>
        <w:rPr>
          <w:rFonts w:ascii="Times New Roman" w:hAnsi="Times New Roman"/>
          <w:b/>
          <w:sz w:val="20"/>
        </w:rPr>
        <w:t>Similar Laws</w:t>
      </w:r>
      <w:r>
        <w:rPr>
          <w:rFonts w:ascii="Times New Roman" w:hAnsi="Times New Roman"/>
          <w:sz w:val="20"/>
        </w:rPr>
        <w:t>”), and entities whose underlying assets are considered to include “plan assets” of any such plan, account or arrangement (each, a “</w:t>
      </w:r>
      <w:r>
        <w:rPr>
          <w:rFonts w:ascii="Times New Roman" w:hAnsi="Times New Roman"/>
          <w:b/>
          <w:sz w:val="20"/>
        </w:rPr>
        <w:t>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summary is based on the provisions of ERISA and the Code (and related regulations and administrative and judicial interpretations) as of the date of this registration statement. This summary does not purport to be complete, and no assurance can be given that future legislation, court decisions, regulations, rulings or pronouncements will not significantly modify the requirements summarized below. Any of these changes may be retroactive and may thereby apply to transactions entered into prior to the date of their enactment or release. This discussion is general in nature and is not intended to be all inclusive, nor should it be construed as investment or legal advice.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Fiduciary Matters </w:t>
      </w:r>
    </w:p>
    <w:p>
      <w:pPr>
        <w:pStyle w:val="TextBody"/>
        <w:bidi w:val="0"/>
        <w:spacing w:before="120" w:after="0"/>
        <w:jc w:val="left"/>
        <w:rPr>
          <w:rFonts w:ascii="Times New Roman" w:hAnsi="Times New Roman"/>
          <w:sz w:val="20"/>
        </w:rPr>
      </w:pPr>
      <w:r>
        <w:rPr>
          <w:rFonts w:ascii="Times New Roman" w:hAnsi="Times New Roman"/>
          <w:sz w:val="20"/>
        </w:rPr>
        <w:t>ERISA and the Code impose certain duties on persons who are fiduciaries of a Plan subject to Title I of ERISA or Section 4975 of the Code (an “</w:t>
      </w:r>
      <w:r>
        <w:rPr>
          <w:rFonts w:ascii="Times New Roman" w:hAnsi="Times New Roman"/>
          <w:b/>
          <w:sz w:val="20"/>
        </w:rPr>
        <w:t>ERISA Plan</w:t>
      </w:r>
      <w:r>
        <w:rPr>
          <w:rFonts w:ascii="Times New Roman" w:hAnsi="Times New Roman"/>
          <w:sz w:val="20"/>
        </w:rPr>
        <w:t xml:space="preserve">”) and prohibit certain transactions involving the assets of an ERISA Plan and its fiduciaries or other interested parties. Under ERISA and the Code, any person who exercises any discretionary authority or control over the administration of an ERISA Plan or the management or disposition of the assets of an ERISA Plan, or who renders investment advice for a fee or other compensation to an ERISA Plan, is generally considered to be a fiduciary of the ERISA Plan. </w:t>
      </w:r>
    </w:p>
    <w:p>
      <w:pPr>
        <w:pStyle w:val="TextBody"/>
        <w:bidi w:val="0"/>
        <w:spacing w:before="240" w:after="0"/>
        <w:jc w:val="left"/>
        <w:rPr>
          <w:rFonts w:ascii="Times New Roman" w:hAnsi="Times New Roman"/>
          <w:sz w:val="20"/>
        </w:rPr>
      </w:pPr>
      <w:r>
        <w:rPr>
          <w:rFonts w:ascii="Times New Roman" w:hAnsi="Times New Roman"/>
          <w:sz w:val="20"/>
        </w:rPr>
        <w:t xml:space="preserve">In considering an investment in shares of common stock with a portion of the assets of any Plan, a fiduciary should consider the Plan’s particular circumstances and all of the facts and circumstances of the investment and determine whether the acquisition and holding of shares of common stock is in accordance with the documents and instruments governing the Plan and the applicable provisions of ERISA, the Code, or any Similar Law relating to the fiduciary’s duties to the Plan,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investment is prudent under Section 404(a)(1)(B) of ERISA and any other applicable Similar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 making the investment, the ERISA Plan will satisfy the diversification requirements of Section 404(a)(1)(C) of ERISA and any other applicable Similar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investment is permitted under the terms of the applicable documents governing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acquisition or holding of the shares of common stock will constitute a “prohibited transaction” under Section 406 of ERISA or Section 4975 of the Code (please see discussion under “—Prohibited Transaction Issues” below);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Plan will be considered to hold, as plan assets, (i) only shares of common stock or (ii) an undivided interest in our underlying assets (please see the discussion under “—Plan Asset Issues” below).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Prohibited Transaction Issues </w:t>
      </w:r>
    </w:p>
    <w:p>
      <w:pPr>
        <w:pStyle w:val="TextBody"/>
        <w:bidi w:val="0"/>
        <w:spacing w:before="120" w:after="0"/>
        <w:jc w:val="left"/>
        <w:rPr>
          <w:rFonts w:ascii="Times New Roman" w:hAnsi="Times New Roman"/>
          <w:sz w:val="20"/>
        </w:rPr>
      </w:pPr>
      <w:r>
        <w:rPr>
          <w:rFonts w:ascii="Times New Roman" w:hAnsi="Times New Roman"/>
          <w:sz w:val="20"/>
        </w:rPr>
        <w:t xml:space="preserve">Section 406 of ERISA and Section 4975 of the Code prohibit ERISA Plans from engaging in specified transactions involving plan assets with persons or entities who are “parties in interest,” within the meaning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ERISA, or “disqualified persons,” within the meaning of Section 4975 of the Code, unless an exemption is available. A party in interest or disqualified person who engages in a non-exempt prohibited transaction may be subject to excise taxes and other penalties and liabilities under ERISA and the Code. In addition, the fiduciary of the ERISA Plan that engages in such a non-exempt prohibited transaction may be subject to penalties and liabilities under ERISA and the Code. The acquisition and/or holding of shares of common stock by an ERISA Plan with respect to which the issuer or an underwriter is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foregoing, shares of common stock should not be acquired or held by any person investing “plan assets” of any Plan unless such acquisition and holding will not constitute a non-exempt prohibited transaction under ERISA and the Code or a similar violation of any applicable Similar Laws. </w:t>
      </w:r>
    </w:p>
    <w:p>
      <w:pPr>
        <w:pStyle w:val="TextBody"/>
        <w:bidi w:val="0"/>
        <w:spacing w:before="360" w:after="0"/>
        <w:jc w:val="left"/>
        <w:rPr>
          <w:rFonts w:ascii="Times New Roman" w:hAnsi="Times New Roman"/>
          <w:b/>
          <w:sz w:val="20"/>
        </w:rPr>
      </w:pPr>
      <w:r>
        <w:rPr>
          <w:rFonts w:ascii="Times New Roman" w:hAnsi="Times New Roman"/>
          <w:b/>
          <w:sz w:val="20"/>
        </w:rPr>
        <w:t xml:space="preserve">Plan Asset Issues </w:t>
      </w:r>
    </w:p>
    <w:p>
      <w:pPr>
        <w:pStyle w:val="TextBody"/>
        <w:bidi w:val="0"/>
        <w:spacing w:before="120" w:after="0"/>
        <w:jc w:val="left"/>
        <w:rPr>
          <w:rFonts w:ascii="Times New Roman" w:hAnsi="Times New Roman"/>
          <w:sz w:val="20"/>
        </w:rPr>
      </w:pPr>
      <w:r>
        <w:rPr>
          <w:rFonts w:ascii="Times New Roman" w:hAnsi="Times New Roman"/>
          <w:sz w:val="20"/>
        </w:rPr>
        <w:t xml:space="preserve">Additionally, a fiduciary of a Plan should consider whether the Plan will, by investing in us, be deemed to own an undivided interest in our assets, with the result that we would become a fiduciary of the Plan and our operations would be subject to the regulatory restrictions of ERISA, including its prohibited transaction rules, as well as the prohibited transaction rules of the Code and any other applicable Similar Laws. </w:t>
      </w:r>
    </w:p>
    <w:p>
      <w:pPr>
        <w:pStyle w:val="TextBody"/>
        <w:bidi w:val="0"/>
        <w:spacing w:before="240" w:after="0"/>
        <w:jc w:val="left"/>
        <w:rPr>
          <w:rFonts w:ascii="Times New Roman" w:hAnsi="Times New Roman"/>
          <w:sz w:val="20"/>
        </w:rPr>
      </w:pPr>
      <w:r>
        <w:rPr>
          <w:rFonts w:ascii="Times New Roman" w:hAnsi="Times New Roman"/>
          <w:sz w:val="20"/>
        </w:rPr>
        <w:t>The Department of Labor (the “</w:t>
      </w:r>
      <w:r>
        <w:rPr>
          <w:rFonts w:ascii="Times New Roman" w:hAnsi="Times New Roman"/>
          <w:b/>
          <w:sz w:val="20"/>
        </w:rPr>
        <w:t>DOL</w:t>
      </w:r>
      <w:r>
        <w:rPr>
          <w:rFonts w:ascii="Times New Roman" w:hAnsi="Times New Roman"/>
          <w:sz w:val="20"/>
        </w:rPr>
        <w:t xml:space="preserve">”) regulations provide guidance with respect to whether the assets of an entity in which ERISA Plans acquire equity interests would be deemed “plan assets” under some circumstances. Under these regulations, an entity’s assets generally would not be considered to be “plan assets” if, among other things: </w:t>
      </w:r>
    </w:p>
    <w:p>
      <w:pPr>
        <w:pStyle w:val="TextBody"/>
        <w:bidi w:val="0"/>
        <w:spacing w:before="120" w:after="0"/>
        <w:jc w:val="left"/>
        <w:rPr>
          <w:rFonts w:ascii="Times New Roman" w:hAnsi="Times New Roman"/>
          <w:sz w:val="20"/>
        </w:rPr>
      </w:pPr>
      <w:r>
        <w:rPr>
          <w:rFonts w:ascii="Times New Roman" w:hAnsi="Times New Roman"/>
          <w:sz w:val="20"/>
        </w:rPr>
        <w:t xml:space="preserve">(a) the equity interests acquired by ERISA Plans are “publicly-offered securities” (as defined in the DOL regulations)—i.e., the equity interests are part of a class of securities that is widely held by 100 or more investors independent of the issuer and each other, are freely transferable, and are either registered under certain provisions of the federal securities laws or sold to the ERISA Plan as part of a public offering under certain conditions; </w:t>
      </w:r>
    </w:p>
    <w:p>
      <w:pPr>
        <w:pStyle w:val="TextBody"/>
        <w:bidi w:val="0"/>
        <w:spacing w:before="120" w:after="0"/>
        <w:jc w:val="left"/>
        <w:rPr>
          <w:rFonts w:ascii="Times New Roman" w:hAnsi="Times New Roman"/>
          <w:sz w:val="20"/>
        </w:rPr>
      </w:pPr>
      <w:r>
        <w:rPr>
          <w:rFonts w:ascii="Times New Roman" w:hAnsi="Times New Roman"/>
          <w:sz w:val="20"/>
        </w:rPr>
        <w:t xml:space="preserve">(b) the entity is an “operating company” (as defined in the DOL regulations)—i.e., it is primarily engaged in the production or sale of a product or service, other than the investment of capital, either directly or through a majority-owned subsidiary or subsidiaries; or </w:t>
      </w:r>
    </w:p>
    <w:p>
      <w:pPr>
        <w:pStyle w:val="TextBody"/>
        <w:bidi w:val="0"/>
        <w:spacing w:before="120" w:after="0"/>
        <w:jc w:val="left"/>
        <w:rPr>
          <w:rFonts w:ascii="Times New Roman" w:hAnsi="Times New Roman"/>
          <w:sz w:val="20"/>
        </w:rPr>
      </w:pPr>
      <w:r>
        <w:rPr>
          <w:rFonts w:ascii="Times New Roman" w:hAnsi="Times New Roman"/>
          <w:sz w:val="20"/>
        </w:rPr>
        <w:t xml:space="preserve">(c) there is no significant investment by “benefit plan investors” (as defined in the DOL regulations)—i.e., immediately after the most recent acquisition by an ERISA Plan of any equity interest in the entity, less than 25% of the total value of each class of equity interest (disregarding certain interests held by persons (other than benefit plan investors) with discretionary authority or control over the assets of the entity or who provide investment advice for a fee (direct or indirect) with respect to such assets, and any affiliates thereof) is held by ERISA Plans and certain other Plans (but not including governmental plans, foreign plans and certain church plans), and entities whose underlying assets are deemed to include plan assets by reason of a Plan’s investment in the entity. </w:t>
      </w:r>
    </w:p>
    <w:p>
      <w:pPr>
        <w:pStyle w:val="TextBody"/>
        <w:bidi w:val="0"/>
        <w:spacing w:before="240" w:after="0"/>
        <w:jc w:val="left"/>
        <w:rPr>
          <w:rFonts w:ascii="Times New Roman" w:hAnsi="Times New Roman"/>
          <w:sz w:val="20"/>
        </w:rPr>
      </w:pPr>
      <w:r>
        <w:rPr>
          <w:rFonts w:ascii="Times New Roman" w:hAnsi="Times New Roman"/>
          <w:sz w:val="20"/>
        </w:rPr>
        <w:t xml:space="preserve">Due to the complexity of these rules and the excise taxes, penalties and liabilities that may be imposed upon persons involved in non-exempt prohibited transactions, it is particularly important that fiduciaries, or other persons considering acquiring and/or holding shares of our common stock on behalf of, or with the assets of, any Plan, consult with their counsel regarding the potential applicability of ERISA, Section 4975 of the Code and any Similar Laws to such investment and whether an exemption would be applicable to the acquisition and holding of shares of common stock. Purchasers of shares of common stock have the exclusive responsibility for ensuring that their acquisition and holding of shares of common stock complies with the fiduciary responsibility rules of ERISA and does not violate the prohibited transaction rules of ERISA, the Code or applicable Similar Laws.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sale of shares of common stock to a Plan is in no respect a representation by us or any of our affiliates or representatives that such an investment meets all relevant legal requirements with respect to investments by any such Plan or that such investment is appropriate for any such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rom32791_11"/>
      <w:bookmarkEnd w:id="13"/>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the shares of common stock described in this prospectus through Barclays Capital Inc., the underwriter in this offering. We and the selling stockholders have entered into an underwriting agreement with the underwriter. Subject to the terms and conditions of the underwriting agreement, the selling stockholders identified in this prospectus supplement have agreed to sell to the underwriter, and the underwriter has agreed to purchase 5,000,000 shares of common stock. The underwriter is committed to purchase all the shares of common stock offered by the selling stockholders if it purchases any shares.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has agreed to purchase the shares of common stock from the selling shareholder at a price of $  per share, which will result in $    of proceeds to the selling shareholder before expenses. The underwriter proposes to offer shares of common stock from time to time for sale in one or more transactions on the NYSE, in the over-the-counter market, through negotiated transactions or otherwise at market prices prevailing at the time of sale, at prices related to prevailing market prices or at negotiated prices. The underwriter may effect such transactions by selling the shares of common stock to or through dealers, and such dealers may receive compensation in the form of discounts, concessions or commissions from the underwriter and/or purchasers for whom they may act as agents or to whom they may sell as principal. The offering of the common stock by the underwriter is subject to receipt and acceptance and subject to the underwriter’s right to reject any order in whole or in part. In connection with the sale of shares of common stock offered hereby, the underwriter may be deemed to have received compensation in the form of underwriting discounts.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Registration Rights Agreement, we will pay all expenses related to the registration, offering, and listing of these shares, including the fees and expenses of one counsel for the selling stockholders. The selling stockholders will pay any underwriting fees, discounts and commissions and any additional attorneys’ fees incurred on their own behalf. We estimate that the total expenses of this offering, including registration, filing and listing fees, printing fees and legal and accounting expenses, but excluding the underwriting discounts and commissions, will be approximately $   . We have also agreed to reimburse the underwriter for certain of their expenses in an amount up to $25,000.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will receive all of the proceeds from this offering and we will not receive any proceeds from the sale of shares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A prospectus in electronic format may be made available on the web sites maintained by the underwriter, or selling group members, if any, participating in the offering. The underwriter may agree to allocate a number of shares to selling group members, if any, for sale to their online brokerage account holders. Internet distributions will be allocated by the underwriter to selling group members, if any, that may make Internet distributions on the same basis as other allocations.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that, for a period of 45 days after the date of this prospectus supplement, we will not (i) offer, pledge, sell, contract to sell, sell any option or contract to purchase, purchase any option or contract to sell, grant any option, right or warrant to purchase, lend, or otherwise transfer or dispose of, directly or indirectly, or submit to, or file with, the SEC a registration statement under the Securities Act relating to, any shares of our common stock or any securities convertible into or exercisable or exchangeable for our common stock, or publicly disclose the intention to undertake any of the foregoing, or (ii) enter into any swap or other agreement that transfers, in whole or in part, any of the economic consequences of ownership of common stock or any such other securities, whether any such transaction described in clause (i) or (ii) above is to be settled by delivery of common stock or such other securities, in cash or otherwise, without the prior written consent of the underwriter, other than the shares of our common stock to be sold hereunder.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described above do not apply to (i) the issuance of shares of common stock or securities convertible into or exercisable for shares of our common stock pursuant to the conversion or exchange of convertible or exchangeable securities or the exercise of warrants or stock options (including net exercise) 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settlement of restricted stock units (including net settlement), in each case outstanding on the date of the underwriting agreement and described in this prospectus supplement; (ii) grants of stock options, or other equity awards and the issuance of shares of our common stock or securities convertible into or exercisable or exchangeable for shares of our common stock (whether upon the exercise of stock options or otherwise) to our employees, officers, directors, advisors, or consultants pursuant to the terms of an equity compensation plan in effect as of the closing of this offering and described in this prospectus supplement; (iii) the filing of any registration statement on Form S-8 relating to securities granted or to be granted pursuant to any equity compensation plan in effect on the date of the underwriting agreement and described in this prospectus supplement or any assumed benefit plan pursuant to an acquisition or similar strategic transaction or (iv) the issuance of common stock as consideration for acquisitions entered into or announced after the date hereof; provided, that the shares of common stock issued pursuant to the foregoing clause (iv) do not, in the aggregate, represent more than 10% of the number of shares of common stock outstanding upon completion of the offering pursuant to the underwriting agreement and each recipient of such shares agrees in writing to be bound by a lock-up or similar agreement substantially in the form attached to the 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Our directors and executive officers, and each selling stockholder (such persons, the “lock-up parties”) have entered into lock-up agreements with the underwriter prior to the commencement of this offering pursuant to which each lock-up party, with limited exceptions, for a period of 45 days after the date of this prospectus (such period, the “restricted period”), may not (and may not cause any of their affiliates to), without the prior written consent of the underwriter, (1)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lock-up parties in accordance with the rules and regulations of the SEC 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described in the immediately preceding paragraph and contained in the lock-up agreements between the underwriter and the lock-up parties do not apply, subject in certain cases to various conditions, to certain transactions, including (a) transfers of lock-up securities: (i) as a bona fide gift or gifts or charitable contribution, or for bona fide estate planning purposes, (ii) by will or intestacy, (iii) to any immediate family member of the lock-up party, any trust for the direct or indirect benefit of the lock-up party or any immediate family member, or if the lock-up party is a trust, to a trustor or beneficiary of the trust or to the estate of a beneficiary of such trust, (iv) to a corporation, partnership, limited liability company or other entity of which the lock-up party and its immediate family members are the legal and beneficial owner of all of the outstanding equity securities or similar interests, (v) to a nominee or custodian of a person or entity to whom a disposition or transfer would be permissible under clauses (i) through (iv), (vi) in the case of a corporation, partnership, limited liability company, trust or other business entity, (A) to another corporation, partnership, limited liability company, trust or other business entity that is an affiliate of the lock-up party, or to any investment fund or other entity controlling, controlled by, managing or managed by or under common control with the lock-up party or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affiliates (including, for the avoidance of doubt, where the undersigned is a partnership, to its general partner or a successor partnership or fund, or any other funds managed by such partnership), or (B) as part of a distribution to members, limited or general partners or shareholders of the lock-up party; (vii) by operation of law, (viii) to us from an employee upon death, disability or termination of employment of such employee, (ix) to the extent such lock-up securities were acquired in open market transactions after the completion of this offering, (x) to us in connection with the vesting, settlement or exercise of restricted stock units, options, warrants or other rights to purchase shares of our common stock (including by way of “net” or “cashless” exercise), including for the payment of exercise price and tax and remittance payments due as a result of the vesting, settlement, or exercise of such restricted stock units, options, warrants, or rights, provided that any such shares of common stock received upon such exercise, vesting or settlement shall be subject to the restrictions in the immediately preceding paragraph, or (xi) pursuant to a bona fide third-party tender offer, merger, consolidation or other similar transaction approved by our Board and made to all stockholders involving a change in control of the Company, provided that if such transaction is not completed, all such lock-up securities would remain subject to the restrictions in the immediately preceding paragraph; (b) exercise of the options, settlement of RSUs or other equity awards, or the exercise of warrants granted pursuant to plans described in this prospectus, provided that any lock-up securities received upon such exercise, vesting or settlement would be subject to restrictions similar to those in the immediately preceding paragraph; (c) the conversion of outstanding preferred stock, warrants to acquire preferred stock, or convertible securities into shares of our common stock or warrants to acquire shares of our common stock, provided that any such common stock or warrant received upon such conversion would be subject to restrictions similar to those in the immediately preceding paragraph; (d) the establishment by lock-up parties of trading plans under Rule 10b5-1 under the Exchange Act, provided that (1) such plan does not provide for the transfer of lock-up securities during the restricted period and (2) any public announcement or filing under the Exchange Act made by any person regarding the establishment of such trading plan during the restricted period shall include a statement that such person is not permitted to transfer, sell or otherwise dispose of securities under such trading plan during the restricted period in contravention of the lock-up agreement, (e) the transfer or sale of lock-up securities pursuant to any trading plan under Rule 10b5-1 under the Exchange Act that has been entered into by the lock-up party prior to the date of the lock-up agreement, provided that any filing required to be made under Section 16(a) of the Exchange Act as a result of such transfer or sale must state that such transfer or sale is pursuant to a trading plan pursuant to Rule 10b5-1; and (f) the sale of our common stock pursuant to the terms of the 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in its sole discretion, may release the securities subject to any of the lock-up agreements with the underwriter described above, in whole or in part at any time. </w:t>
      </w:r>
    </w:p>
    <w:p>
      <w:pPr>
        <w:pStyle w:val="TextBody"/>
        <w:bidi w:val="0"/>
        <w:spacing w:before="240" w:after="0"/>
        <w:jc w:val="left"/>
        <w:rPr>
          <w:rFonts w:ascii="Times New Roman" w:hAnsi="Times New Roman"/>
          <w:sz w:val="20"/>
        </w:rPr>
      </w:pPr>
      <w:r>
        <w:rPr>
          <w:rFonts w:ascii="Times New Roman" w:hAnsi="Times New Roman"/>
          <w:sz w:val="20"/>
        </w:rPr>
        <w:t xml:space="preserve">We and the selling stockholders have agreed to indemnify the underwriter against certain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listed/quoted on the NYSE under the symbol “INVX”.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the underwriter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 of a greater number of shares of common stock than they are required to purchase in this offering, and purchasing shares of common stock on the open market to cover positions created by short sales. Short sales may be “covered” shorts, or may be “naked” shorts. The underwriter may close out any covered short position by purchasing shares in the open market. A naked short position is more likely to be created if the underwriter is concerned that there may be downward pressure on the price of the common stock in the open market that could adversely affect investors who purchase in this offering. To the extent that the underwriter creates a naked short position, it will purchase shares in the open market to cover the position.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underwriter has advised us that, pursuant to Regulation M of the Securities Act, it may also engage in other activities that stabilize, maintain or otherwise affect the price of the common stock, including the imposition of penalty bids. </w:t>
      </w:r>
    </w:p>
    <w:p>
      <w:pPr>
        <w:pStyle w:val="TextBody"/>
        <w:bidi w:val="0"/>
        <w:spacing w:before="240" w:after="0"/>
        <w:jc w:val="left"/>
        <w:rPr>
          <w:rFonts w:ascii="Times New Roman" w:hAnsi="Times New Roman"/>
          <w:sz w:val="20"/>
        </w:rPr>
      </w:pPr>
      <w:r>
        <w:rPr>
          <w:rFonts w:ascii="Times New Roman" w:hAnsi="Times New Roman"/>
          <w:sz w:val="20"/>
        </w:rPr>
        <w:t xml:space="preserve">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 commences these activities, it may discontinue them at any time. The underwriter may carry out these transactions on the NYSE,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Other than in the United States, no action has been taken by us or the underwriter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State”), no shares of common stock have been offered or will be offered pursuant to the offering to the public in that Relevant State prior to the publication of a prospectus in relation to the shares of common stock which have been approved by the competent authority in that Relevant State or, where appropriate, approved in another Relevant State and notified to the competent authority in that Relevant State, all in accordance with the Prospectus Regulation, except that shares of common stock may be offered to the public in that Relevant State at any time: </w:t>
      </w:r>
    </w:p>
    <w:p>
      <w:pPr>
        <w:pStyle w:val="TextBody"/>
        <w:bidi w:val="0"/>
        <w:spacing w:before="120" w:after="0"/>
        <w:jc w:val="left"/>
        <w:rPr>
          <w:rFonts w:ascii="Times New Roman" w:hAnsi="Times New Roman"/>
          <w:sz w:val="20"/>
        </w:rPr>
      </w:pPr>
      <w:r>
        <w:rPr>
          <w:rFonts w:ascii="Times New Roman" w:hAnsi="Times New Roman"/>
          <w:sz w:val="20"/>
        </w:rPr>
        <w:t xml:space="preserve">(a) to any qualified investor as defined under Article 2 of the Prospectus Regulation; </w:t>
      </w:r>
    </w:p>
    <w:p>
      <w:pPr>
        <w:pStyle w:val="TextBody"/>
        <w:bidi w:val="0"/>
        <w:spacing w:before="120" w:after="0"/>
        <w:jc w:val="left"/>
        <w:rPr>
          <w:rFonts w:ascii="Times New Roman" w:hAnsi="Times New Roman"/>
          <w:sz w:val="20"/>
        </w:rPr>
      </w:pPr>
      <w:r>
        <w:rPr>
          <w:rFonts w:ascii="Times New Roman" w:hAnsi="Times New Roman"/>
          <w:sz w:val="20"/>
        </w:rPr>
        <w:t xml:space="preserve">(b) to fewer than 150 natural or legal persons (other than qualified investors as defined under Article 2 of the Prospectus Regulation), subject to obtaining the prior consent of representative for any such offer; or </w:t>
      </w:r>
    </w:p>
    <w:p>
      <w:pPr>
        <w:pStyle w:val="TextBody"/>
        <w:bidi w:val="0"/>
        <w:spacing w:before="120" w:after="0"/>
        <w:jc w:val="left"/>
        <w:rPr>
          <w:rFonts w:ascii="Times New Roman" w:hAnsi="Times New Roman"/>
          <w:sz w:val="20"/>
        </w:rPr>
      </w:pPr>
      <w:r>
        <w:rPr>
          <w:rFonts w:ascii="Times New Roman" w:hAnsi="Times New Roman"/>
          <w:sz w:val="20"/>
        </w:rPr>
        <w:t xml:space="preserve">(c) in any other circumstances falling within Article 1(4) of the Prospectus Regulation, provided that no such offer of shares shall require the Company or any Underwriter to publish a prospectus pursuant to Article 3 of the Prospectus Regulation, supplement a prospectus pursuant to Article 23 of the Prospectus Regulation or publish an Annex IX document pursuant to Article 1(4)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shares of common stock in any Relevant State means the communication in any form and by any means of sufficient information on the terms of the offer and any shares of common stock to be offered so as to enable an investor to decide to purchase or subscribe for any shares, and the expression “Prospectus Regulation” means Regulation (EU) 2017/1129.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No shares of common stock have been offered or will be offered pursuant to the offering to the public in the United Kingdom except that shares of common stock may be offered to the public in the United Kingdom at any time: </w:t>
      </w:r>
    </w:p>
    <w:p>
      <w:pPr>
        <w:pStyle w:val="TextBody"/>
        <w:bidi w:val="0"/>
        <w:spacing w:before="120" w:after="0"/>
        <w:jc w:val="left"/>
        <w:rPr>
          <w:rFonts w:ascii="Times New Roman" w:hAnsi="Times New Roman"/>
          <w:sz w:val="20"/>
        </w:rPr>
      </w:pPr>
      <w:r>
        <w:rPr>
          <w:rFonts w:ascii="Times New Roman" w:hAnsi="Times New Roman"/>
          <w:sz w:val="20"/>
        </w:rPr>
        <w:t xml:space="preserve">(a) where the offer is conditional on the admission of shares of common stock to trading on the London Stock Exchange plc’s main market (in reliance on the exception in paragraph 6(a) of Schedule 1 of the POATR);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to any qualified investor as defined under paragraph 15 of Schedule 1 of the POATR; </w:t>
      </w:r>
    </w:p>
    <w:p>
      <w:pPr>
        <w:pStyle w:val="TextBody"/>
        <w:bidi w:val="0"/>
        <w:spacing w:before="120" w:after="0"/>
        <w:jc w:val="left"/>
        <w:rPr>
          <w:rFonts w:ascii="Times New Roman" w:hAnsi="Times New Roman"/>
          <w:sz w:val="20"/>
        </w:rPr>
      </w:pPr>
      <w:r>
        <w:rPr>
          <w:rFonts w:ascii="Times New Roman" w:hAnsi="Times New Roman"/>
          <w:sz w:val="20"/>
        </w:rPr>
        <w:t xml:space="preserve">(c) to fewer than 150 persons (other than qualified investors as defined under paragraph 15 of Schedule 1 of the POATR), subject to obtaining the prior consent of the representative for any such offer; or </w:t>
      </w:r>
    </w:p>
    <w:p>
      <w:pPr>
        <w:pStyle w:val="TextBody"/>
        <w:bidi w:val="0"/>
        <w:spacing w:before="120" w:after="0"/>
        <w:jc w:val="left"/>
        <w:rPr>
          <w:rFonts w:ascii="Times New Roman" w:hAnsi="Times New Roman"/>
          <w:sz w:val="20"/>
        </w:rPr>
      </w:pPr>
      <w:r>
        <w:rPr>
          <w:rFonts w:ascii="Times New Roman" w:hAnsi="Times New Roman"/>
          <w:sz w:val="20"/>
        </w:rPr>
        <w:t xml:space="preserve">(d) in any other circumstances falling within Part 1 of Schedule 1 of the POATR.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shares of common stock in the United Kingdom means the communication to any person which presents sufficient information on: (a) the shares of common stock to be offered; and (b) the terms on which they are to be offered, to enable an investor to decide to buy or subscribe for the shares and the expressions “POATR” means the Public Offers and Admissions to Trading Regulations 2024.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Our shares of common stock may not be offered or sold in Hong Kong by means of any document other than (1)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(2) to “professional investors” as defined in the Securities and Futures Ordinance and any rules made thereunder, or (3) in other circumstances which do not result in the document being a “prospectus” as defined in the Companies (Winding Up and Miscellaneous Provisions) Ordinance, and no advertisement, invitation or document relating to our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has not been and will not be lodged or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any person in Singapore other than (i) to an institutional investor (as defined in Section 4A of the SFA pursuant to Section 274 of the SFA) or (ii) to an accredited investor (as defined in Section 4A of the SFA) pursuant to and in accordance with the conditions specified in Section 275 of the SFA and (where applicable) Regulation 3 of the Securities and Futures (Classes of Investors) Regulations 2018. </w:t>
      </w:r>
    </w:p>
    <w:p>
      <w:pPr>
        <w:pStyle w:val="TextBody"/>
        <w:bidi w:val="0"/>
        <w:spacing w:before="240" w:after="0"/>
        <w:jc w:val="left"/>
        <w:rPr>
          <w:rFonts w:ascii="Times New Roman" w:hAnsi="Times New Roman"/>
          <w:sz w:val="20"/>
        </w:rPr>
      </w:pPr>
      <w:r>
        <w:rPr>
          <w:rFonts w:ascii="Times New Roman" w:hAnsi="Times New Roman"/>
          <w:sz w:val="20"/>
        </w:rPr>
        <w:t xml:space="preserve">Any reference to the “SFA” is a reference to the Securities and Futures Act 2001 of Singapore, as modified or amended from time to time and a reference to any term as defined in the SFA or any provision in the SFA is a reference to that term or provision as modified or amended from time to time including by such of its subsidiary legislation as may be applicable at the relevant time. </w:t>
      </w:r>
    </w:p>
    <w:p>
      <w:pPr>
        <w:pStyle w:val="TextBody"/>
        <w:bidi w:val="0"/>
        <w:spacing w:before="240" w:after="0"/>
        <w:jc w:val="left"/>
        <w:rPr>
          <w:rFonts w:ascii="Times New Roman" w:hAnsi="Times New Roman"/>
          <w:sz w:val="20"/>
        </w:rPr>
      </w:pPr>
      <w:r>
        <w:rPr>
          <w:rFonts w:ascii="Times New Roman" w:hAnsi="Times New Roman"/>
          <w:sz w:val="20"/>
        </w:rPr>
        <w:t xml:space="preserve">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offering has not been and will not be registered under the Financial Instruments and Exchange Act of Japan (Act No. 25 of 1948 of Japan, as amended, the “FIEA”), and the Initial Purchaser will not offer or sell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FIEA and any other applicable laws, regulations and ministerial guidelines of Japan.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The offering of the securities in Switzerland is exempt from requirement to prepare and publish a prospectus under the Swiss Financial Services Act (“FinSA”) because such offering is made to professional clients within the meaning of the FinSA only and the securities will not be admitted to trading on any trading venue (exchange or multilateral trading facility) in Switzerland. This prospectus does not constitute a prospectus pursuant to the FinSA, and no such prospectus has been or will be prepared for or in connection with the offering of the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may be sold only to purchasers purchasing, or deemed to be purchasing, as principal that are accredited investors, as defined in National Instrument 45-106 Prospectus Exemptions,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(or, in the case of securities issued or guaranteed by the government of a non-Canadian jurisdiction, section 3A.4) of National Instrument 33-105 Underwriting Conflicts (NI 33-105), the underwriter is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Australia </w:t>
      </w:r>
    </w:p>
    <w:p>
      <w:pPr>
        <w:pStyle w:val="TextBody"/>
        <w:bidi w:val="0"/>
        <w:spacing w:before="120" w:after="0"/>
        <w:jc w:val="left"/>
        <w:rPr>
          <w:rFonts w:ascii="Times New Roman" w:hAnsi="Times New Roman"/>
          <w:sz w:val="20"/>
        </w:rPr>
      </w:pPr>
      <w:r>
        <w:rPr>
          <w:rFonts w:ascii="Times New Roman" w:hAnsi="Times New Roman"/>
          <w:sz w:val="20"/>
        </w:rPr>
        <w:t xml:space="preserve">No placement document, prospectus, product disclosure statement, or other disclosure document has been lodged with the Australian Securities and Investments Commission (the “ASIC”) in relation to this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Any offer in Australia of our common stock may only be made to persons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our common stock without disclosure to investors under Chapter 6D of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The common stock applied for by Exempt Investors in Australia must not be offered for sale in Australia in the period of twelve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Brazil </w:t>
      </w:r>
    </w:p>
    <w:p>
      <w:pPr>
        <w:pStyle w:val="TextBody"/>
        <w:bidi w:val="0"/>
        <w:spacing w:before="120" w:after="0"/>
        <w:jc w:val="left"/>
        <w:rPr>
          <w:rFonts w:ascii="Times New Roman" w:hAnsi="Times New Roman"/>
          <w:sz w:val="20"/>
        </w:rPr>
      </w:pPr>
      <w:r>
        <w:rPr>
          <w:rFonts w:ascii="Times New Roman" w:hAnsi="Times New Roman"/>
          <w:sz w:val="20"/>
        </w:rPr>
        <w:t>The offer and sale of the securities have not been and will not be registered with the Brazilian Securities Commission (</w:t>
      </w:r>
      <w:r>
        <w:rPr>
          <w:rFonts w:ascii="Times New Roman" w:hAnsi="Times New Roman"/>
          <w:i/>
          <w:sz w:val="20"/>
        </w:rPr>
        <w:t>Comissão de Valores Mobiliários</w:t>
      </w:r>
      <w:r>
        <w:rPr>
          <w:rFonts w:ascii="Times New Roman" w:hAnsi="Times New Roman"/>
          <w:sz w:val="20"/>
        </w:rPr>
        <w:t xml:space="preserve">, or “CVM”) and, therefore, will not be carried out by any means that would constitute a public offering in Brazil under CVM Resolution No 160, dated 13 July 2022, as amended (“CVM Resolution 160”) or unauthorized distribution under Brazilian laws and regulations. The securities may only be offered to Brazilian professional investors (as defined by applicable CVM Regulation), who may only acquire the securities through a non-Brazilian account, with settlement outside Brazil in non-Brazilian currency. The trading of these securities on regulated securities markets in Brazil is prohibited.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People’s Republic of China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does not constitute a public offer of shares, whether by sale or subscription, in the People’s Republic of China (the “PRC”). The shares are not being offered or sold directly or indirectly in the PRC to or for the benefit of, legal or natural persons of the PRC. </w:t>
      </w:r>
    </w:p>
    <w:p>
      <w:pPr>
        <w:pStyle w:val="TextBody"/>
        <w:bidi w:val="0"/>
        <w:spacing w:before="240" w:after="0"/>
        <w:jc w:val="left"/>
        <w:rPr>
          <w:rFonts w:ascii="Times New Roman" w:hAnsi="Times New Roman"/>
          <w:sz w:val="20"/>
        </w:rPr>
      </w:pPr>
      <w:r>
        <w:rPr>
          <w:rFonts w:ascii="Times New Roman" w:hAnsi="Times New Roman"/>
          <w:sz w:val="20"/>
        </w:rPr>
        <w:t xml:space="preserve">Further, no legal or natural persons of the PRC may directly or indirectly purchase any of the shares of common stock offered by this prospectus or any beneficial interest therein without obtaining all prior PRC governmental approvals that are required, whether statutorily or otherwise. Persons who come into possession of this document are required by the issuer and its representatives to observe these restrictions.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Dubai International Financial Centre (“DIFC”)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relates to an exempt offer which is not subject to any form of regulation or approval by the Dubai Financial Services Authority (the “DFSA”). The DFSA has not approved this prospectus nor has any responsibility for reviewing or verifying any document or other documents in connection with the offering. Accordingly, the DFSA has not approved this prospectus or any other associated documents nor taken any steps to verify the information set out in this prospectus, and has no responsibility for it. </w:t>
      </w:r>
    </w:p>
    <w:p>
      <w:pPr>
        <w:pStyle w:val="TextBody"/>
        <w:bidi w:val="0"/>
        <w:spacing w:before="240" w:after="0"/>
        <w:jc w:val="left"/>
        <w:rPr>
          <w:rFonts w:ascii="Times New Roman" w:hAnsi="Times New Roman"/>
          <w:sz w:val="20"/>
        </w:rPr>
      </w:pPr>
      <w:r>
        <w:rPr>
          <w:rFonts w:ascii="Times New Roman" w:hAnsi="Times New Roman"/>
          <w:sz w:val="20"/>
        </w:rPr>
        <w:t xml:space="preserve">The common stock have not been offered and will not be offered to any persons in the DIFC except on the basis that an offer is: </w:t>
      </w:r>
    </w:p>
    <w:p>
      <w:pPr>
        <w:pStyle w:val="TextBody"/>
        <w:bidi w:val="0"/>
        <w:spacing w:before="120" w:after="0"/>
        <w:jc w:val="left"/>
        <w:rPr>
          <w:rFonts w:ascii="Times New Roman" w:hAnsi="Times New Roman"/>
          <w:sz w:val="20"/>
        </w:rPr>
      </w:pPr>
      <w:r>
        <w:rPr>
          <w:rFonts w:ascii="Times New Roman" w:hAnsi="Times New Roman"/>
          <w:sz w:val="20"/>
        </w:rPr>
        <w:t xml:space="preserve">(i) an “Exempt Offer” in accordance with the Markets Rules (MKT) Module of the DFSA Rulebook; and </w:t>
      </w:r>
    </w:p>
    <w:p>
      <w:pPr>
        <w:pStyle w:val="TextBody"/>
        <w:bidi w:val="0"/>
        <w:spacing w:before="240" w:after="0"/>
        <w:jc w:val="left"/>
        <w:rPr>
          <w:rFonts w:ascii="Times New Roman" w:hAnsi="Times New Roman"/>
          <w:sz w:val="20"/>
        </w:rPr>
      </w:pPr>
      <w:r>
        <w:rPr>
          <w:rFonts w:ascii="Times New Roman" w:hAnsi="Times New Roman"/>
          <w:sz w:val="20"/>
        </w:rPr>
        <w:t xml:space="preserve">made only to persons who meet the “Deemed Professional Client” criteria set out in Rule 2.3.4 of the Conduct of Business (COB) module of the DFSA Rulebook, who are not natural persons.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Israel </w:t>
      </w:r>
    </w:p>
    <w:p>
      <w:pPr>
        <w:pStyle w:val="TextBody"/>
        <w:bidi w:val="0"/>
        <w:spacing w:before="120" w:after="0"/>
        <w:jc w:val="left"/>
        <w:rPr>
          <w:rFonts w:ascii="Times New Roman" w:hAnsi="Times New Roman"/>
          <w:sz w:val="20"/>
        </w:rPr>
      </w:pPr>
      <w:r>
        <w:rPr>
          <w:rFonts w:ascii="Times New Roman" w:hAnsi="Times New Roman"/>
          <w:sz w:val="20"/>
        </w:rPr>
        <w:t xml:space="preserve">The offered by this document have not been approved or disapproved by the Israel Securities Authority (the “ISA”), nor have such securities been registered for sale in Israel. The securities may not be offered or sold, directly or indirectly, to the public in Israel, absent the publication of a prospectus that has been approved by the ISA. The ISA has not issued permits, approvals or licenses in connection with this offering or publishing this document, nor has it authenticated the details included herein, confirmed their reliability or completeness, or rendered an opinion as to the quality of the securities being offered. </w:t>
      </w:r>
    </w:p>
    <w:p>
      <w:pPr>
        <w:pStyle w:val="TextBody"/>
        <w:bidi w:val="0"/>
        <w:spacing w:before="240" w:after="0"/>
        <w:jc w:val="left"/>
        <w:rPr>
          <w:rFonts w:ascii="Times New Roman" w:hAnsi="Times New Roman"/>
          <w:sz w:val="20"/>
        </w:rPr>
      </w:pPr>
      <w:r>
        <w:rPr>
          <w:rFonts w:ascii="Times New Roman" w:hAnsi="Times New Roman"/>
          <w:sz w:val="20"/>
        </w:rPr>
        <w:t xml:space="preserve">This document does not constitute a prospectus under the Israeli Securities Law, 5728-1968 (the “Israeli Securities Law”), and has not been filed with or approved by the ISA. In Israel, this prospectus is being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distributed only to, and is directed only at, and any offer of the securities is directed only at, (i) a limited number of persons in accordance with the Israeli Securities Law and (ii) investors listed in the first addendum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upprom32791_12"/>
      <w:bookmarkEnd w:id="1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common stock being offered by this prospectus supplement and the accompanying prospectus and certain other legal matters will be passed upon for us and for the selling stockholders by Akin Gump Strauss Hauer &amp; Feld LLP, Houston, Texas. Certain legal matters will be passed upon for the underwriters by Latham &amp; Watkins LLP, Houston, Texas. </w:t>
      </w:r>
    </w:p>
    <w:p>
      <w:pPr>
        <w:pStyle w:val="TextBody"/>
        <w:bidi w:val="0"/>
        <w:spacing w:before="480" w:after="0"/>
        <w:jc w:val="center"/>
        <w:rPr>
          <w:rFonts w:ascii="Times New Roman" w:hAnsi="Times New Roman"/>
          <w:b/>
          <w:sz w:val="20"/>
        </w:rPr>
      </w:pPr>
      <w:bookmarkStart w:id="15" w:name="supprom32791_13"/>
      <w:bookmarkEnd w:id="1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Innovex International, Inc. as of December 31, 2025 and 2024 and for the years then ended and management’s assessment of the effectiveness of internal control over financial reporting (which is included in Management’s Report on Internal Control Over Financial Reporting) as of December 31, 2025 incorporated in this prospectus supplement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Innovex International, Inc. (formerly known as Innovex Downhole Solutions, Inc.) for the year ended December 31, 2023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36"/>
        </w:rPr>
      </w:pPr>
      <w:r>
        <w:rPr>
          <w:rFonts w:ascii="Times New Roman" w:hAnsi="Times New Roman"/>
          <w:b/>
          <w:sz w:val="36"/>
        </w:rPr>
        <w:t xml:space="preserve">Up to 29,369,822 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3319145" cy="755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4"/>
                    <a:stretch>
                      <a:fillRect/>
                    </a:stretch>
                  </pic:blipFill>
                  <pic:spPr bwMode="auto">
                    <a:xfrm>
                      <a:off x="0" y="0"/>
                      <a:ext cx="3319145" cy="7556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INNOVEX INTERNATIONAL, INC.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proposed resale from time to time of up to 29,369,822 shares of our common stock, par value $0.01 per share, by the selling stockholders identified herein. The selling stockholders received these shares from us on September 6, 2024 in exchange for their shares of common stock of Innovex Downhole Solutions, Inc. (“Innovex Downhole”) in connection with our acquisition through merger of Innovex Downhole. We will not receive any proceeds from the sale of our common stock by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offer and sell or otherwise dispose of their shares of our common stock described in this prospectus from time to time through public or private transactions at fixed prices, at prevailing market prices at the time of sale, at prices related to the prevailing market price, at varying prices determined at the time of sale or at negotiated prices. See “Plan of Distribution” for more information about how the selling stockholders may sell or dispose of its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New York Stock Exchange under the symbol “INVX.” On September 16, 2024, the last reported sale price for our common stock was $15.27 per share.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common stock involves risk. You should carefully read the information under the heading “</w:t>
      </w:r>
      <w:hyperlink w:anchor="tx32791_5">
        <w:r>
          <w:rPr>
            <w:rStyle w:val="InternetLink"/>
            <w:rFonts w:ascii="Times New Roman" w:hAnsi="Times New Roman"/>
            <w:b/>
            <w:sz w:val="24"/>
          </w:rPr>
          <w:t>Risk Factors</w:t>
        </w:r>
      </w:hyperlink>
      <w:r>
        <w:rPr>
          <w:rFonts w:ascii="Times New Roman" w:hAnsi="Times New Roman"/>
          <w:b/>
          <w:sz w:val="24"/>
        </w:rPr>
        <w:t xml:space="preserve">” on page 1 of this prospectus and the risk factors contained in any applicable prospectus supplement and the documents incorporated by reference herein or therein before making a decision to purchase our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October 1,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1"/>
      <w:bookmarkEnd w:id="16"/>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32791_1">
              <w:r>
                <w:rPr>
                  <w:rStyle w:val="InternetLink"/>
                  <w:rFonts w:ascii="Times New Roman" w:hAnsi="Times New Roman"/>
                  <w:sz w:val="20"/>
                </w:rPr>
                <w:t xml:space="preserve">ABOUT THIS PROSPECTUS </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ii</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32791_2">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ii</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32791_3">
              <w:r>
                <w:rPr>
                  <w:rStyle w:val="InternetLink"/>
                  <w:rFonts w:ascii="Times New Roman" w:hAnsi="Times New Roman"/>
                  <w:sz w:val="20"/>
                </w:rPr>
                <w:t>CAUTIONARY STATEMENT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iv</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32791_4">
              <w:r>
                <w:rPr>
                  <w:rStyle w:val="InternetLink"/>
                  <w:rFonts w:ascii="Times New Roman" w:hAnsi="Times New Roman"/>
                  <w:sz w:val="20"/>
                </w:rPr>
                <w:t>INNOVEX INTERNATIONAL, INC.</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32791_5">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32791_6">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32791_7">
              <w:r>
                <w:rPr>
                  <w:rStyle w:val="InternetLink"/>
                  <w:rFonts w:ascii="Times New Roman" w:hAnsi="Times New Roman"/>
                  <w:sz w:val="20"/>
                </w:rPr>
                <w:t>SELLING STOCKHOLDERS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32791_8">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32791_9">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32791_10">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32791_11">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32791_1"/>
      <w:bookmarkEnd w:id="17"/>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registration statement on Form S-3 that we filed with the Securities and Exchange Commission (the “SEC”), using a “shelf” registration process. We are responsible for the information contained in this prospectus, any applicable prospectus supplement and any permitted free writing prospectus. Neither we nor the selling stockholders have authorized anyone to provide you with additional or different information. This prospectus and any prospectus supplement are not an offer to sell or the solicitation of an offer to buy any securities other than the securities to which they relate and are not an offer to sell or the solicitation of an offer to buy securities in any jurisdiction to any person to whom it is unlawful to make an offer or solicitation in that jurisdiction. You should not assume that the information contained in this prospectus, any applicable prospectus supplement or any permitted free writing prospectus is accurate as of any date other than the date on the front cover of the prospectus or the applicable prospectus supplement or the date of any free writing prospectus, or that the information incorporated by reference is accurate as of any date other than the date of the document incorporated by reference, regardless of the time of delivery of this prospectus or any sale of any security.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Additional information, including our financial statements and the notes thereto, is incorporated in this prospectus by reference to our reports filed with the SEC. Please read “Where You Can Find More Information” below. You are urged to read this prospectus carefully, including “Risk Factors,” any prospectus supplement and the documents incorporated by reference in their entirety before investing in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the “Company,” “Innovex,” “we,” “us,” “our” and similar terms refer to Innovex International, Inc. and its subsidiaries, unless we state otherwise or the context indicates otherwise. </w:t>
      </w:r>
    </w:p>
    <w:p>
      <w:pPr>
        <w:pStyle w:val="TextBody"/>
        <w:bidi w:val="0"/>
        <w:spacing w:before="480" w:after="0"/>
        <w:jc w:val="center"/>
        <w:rPr>
          <w:rFonts w:ascii="Times New Roman" w:hAnsi="Times New Roman"/>
          <w:b/>
          <w:sz w:val="20"/>
        </w:rPr>
      </w:pPr>
      <w:bookmarkStart w:id="18" w:name="tx32791_2"/>
      <w:bookmarkEnd w:id="18"/>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We also filed a registration statement on Form S-3, including exhibits, under the Securities Act of 1933, as amended (the “Securities Act”), with respect to the securities offered by this prospectus. This prospectus is a part of the registration statement, but does not contain all of the information included in the registration statement or the exhibits. You can find our public filings with the SEC on the internet at a web site maintained by the SEC located at http://www.sec.gov. We also make available on our internet website our annual, quarterly and current reports and amendments as soon as reasonably practicable after such documents are electronically filed with, or furnished to, the SEC. Our Internet address is www.innovex-inc.com. The information on our website is not incorporated by reference into this prospectus and does not constitute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are “incorporating by reference” specified documents that we file with the SEC, which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incorporated documents are considered part of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disclosing important information to you by referring you to those documents;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we file later with the SEC will automatically update and supersede information contained in this 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the documents listed below (excluding any information furnished and not filed with the SEC), which we filed with the SEC under the Securities Exchange Act of 1934, as amended (the “Exchange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Form 10-K for the year ended December 31, 2023 originally filed on </w:t>
            </w:r>
            <w:hyperlink r:id="rId15">
              <w:r>
                <w:rPr>
                  <w:rStyle w:val="InternetLink"/>
                  <w:rFonts w:ascii="Times New Roman" w:hAnsi="Times New Roman"/>
                  <w:sz w:val="20"/>
                </w:rPr>
                <w:t>February 27, 2024</w:t>
              </w:r>
            </w:hyperlink>
            <w:r>
              <w:rPr>
                <w:rFonts w:ascii="Times New Roman" w:hAnsi="Times New Roman"/>
                <w:sz w:val="20"/>
              </w:rPr>
              <w:t xml:space="preserve">, as amended by Form 10-K/A filed on </w:t>
            </w:r>
            <w:hyperlink r:id="rId16">
              <w:r>
                <w:rPr>
                  <w:rStyle w:val="InternetLink"/>
                  <w:rFonts w:ascii="Times New Roman" w:hAnsi="Times New Roman"/>
                  <w:sz w:val="20"/>
                </w:rPr>
                <w:t>July 8, 2024</w:t>
              </w:r>
            </w:hyperlink>
            <w:r>
              <w:rPr>
                <w:rFonts w:ascii="Times New Roman" w:hAnsi="Times New Roman"/>
                <w:sz w:val="20"/>
              </w:rPr>
              <w:t xml:space="preserve"> and Form 10-K/A filed on </w:t>
            </w:r>
            <w:hyperlink r:id="rId17">
              <w:r>
                <w:rPr>
                  <w:rStyle w:val="InternetLink"/>
                  <w:rFonts w:ascii="Times New Roman" w:hAnsi="Times New Roman"/>
                  <w:sz w:val="20"/>
                </w:rPr>
                <w:t>August 1, 2024</w:t>
              </w:r>
            </w:hyperlink>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 ended March 31, 2024 originally filed on </w:t>
            </w:r>
            <w:hyperlink r:id="rId18">
              <w:r>
                <w:rPr>
                  <w:rStyle w:val="InternetLink"/>
                  <w:rFonts w:ascii="Times New Roman" w:hAnsi="Times New Roman"/>
                  <w:sz w:val="20"/>
                </w:rPr>
                <w:t>May 2, 2024</w:t>
              </w:r>
            </w:hyperlink>
            <w:r>
              <w:rPr>
                <w:rFonts w:ascii="Times New Roman" w:hAnsi="Times New Roman"/>
                <w:sz w:val="20"/>
              </w:rPr>
              <w:t xml:space="preserve">, as amended by Form 10-Q/A filed on </w:t>
            </w:r>
            <w:hyperlink r:id="rId19">
              <w:r>
                <w:rPr>
                  <w:rStyle w:val="InternetLink"/>
                  <w:rFonts w:ascii="Times New Roman" w:hAnsi="Times New Roman"/>
                  <w:sz w:val="20"/>
                </w:rPr>
                <w:t>July 8, 2024</w:t>
              </w:r>
            </w:hyperlink>
            <w:r>
              <w:rPr>
                <w:rFonts w:ascii="Times New Roman" w:hAnsi="Times New Roman"/>
                <w:sz w:val="20"/>
              </w:rPr>
              <w:t xml:space="preserve">, and for the quarter ended June  30, 2024 filed on </w:t>
            </w:r>
            <w:hyperlink r:id="rId20">
              <w:r>
                <w:rPr>
                  <w:rStyle w:val="InternetLink"/>
                  <w:rFonts w:ascii="Times New Roman" w:hAnsi="Times New Roman"/>
                  <w:sz w:val="20"/>
                </w:rPr>
                <w:t>August 7, 2024</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or 8-K/A filed with the SEC on </w:t>
            </w:r>
            <w:hyperlink r:id="rId21">
              <w:r>
                <w:rPr>
                  <w:rStyle w:val="InternetLink"/>
                  <w:rFonts w:ascii="Times New Roman" w:hAnsi="Times New Roman"/>
                  <w:sz w:val="20"/>
                </w:rPr>
                <w:t>March  18, 2024</w:t>
              </w:r>
            </w:hyperlink>
            <w:r>
              <w:rPr>
                <w:rFonts w:ascii="Times New Roman" w:hAnsi="Times New Roman"/>
                <w:sz w:val="20"/>
              </w:rPr>
              <w:t xml:space="preserve">, </w:t>
            </w:r>
            <w:hyperlink r:id="rId22">
              <w:r>
                <w:rPr>
                  <w:rStyle w:val="InternetLink"/>
                  <w:rFonts w:ascii="Times New Roman" w:hAnsi="Times New Roman"/>
                  <w:sz w:val="20"/>
                </w:rPr>
                <w:t>May  8, 2024</w:t>
              </w:r>
            </w:hyperlink>
            <w:r>
              <w:rPr>
                <w:rFonts w:ascii="Times New Roman" w:hAnsi="Times New Roman"/>
                <w:sz w:val="20"/>
              </w:rPr>
              <w:t xml:space="preserve">, </w:t>
            </w:r>
            <w:hyperlink r:id="rId23">
              <w:r>
                <w:rPr>
                  <w:rStyle w:val="InternetLink"/>
                  <w:rFonts w:ascii="Times New Roman" w:hAnsi="Times New Roman"/>
                  <w:sz w:val="20"/>
                </w:rPr>
                <w:t>May  8, 2024</w:t>
              </w:r>
            </w:hyperlink>
            <w:r>
              <w:rPr>
                <w:rFonts w:ascii="Times New Roman" w:hAnsi="Times New Roman"/>
                <w:sz w:val="20"/>
              </w:rPr>
              <w:t xml:space="preserve">, </w:t>
            </w:r>
            <w:hyperlink r:id="rId24">
              <w:r>
                <w:rPr>
                  <w:rStyle w:val="InternetLink"/>
                  <w:rFonts w:ascii="Times New Roman" w:hAnsi="Times New Roman"/>
                  <w:sz w:val="20"/>
                </w:rPr>
                <w:t>May  14, 2024</w:t>
              </w:r>
            </w:hyperlink>
            <w:r>
              <w:rPr>
                <w:rFonts w:ascii="Times New Roman" w:hAnsi="Times New Roman"/>
                <w:sz w:val="20"/>
              </w:rPr>
              <w:t xml:space="preserve">, </w:t>
            </w:r>
            <w:hyperlink r:id="rId25">
              <w:r>
                <w:rPr>
                  <w:rStyle w:val="InternetLink"/>
                  <w:rFonts w:ascii="Times New Roman" w:hAnsi="Times New Roman"/>
                  <w:sz w:val="20"/>
                </w:rPr>
                <w:t>May  20, 2024</w:t>
              </w:r>
            </w:hyperlink>
            <w:r>
              <w:rPr>
                <w:rFonts w:ascii="Times New Roman" w:hAnsi="Times New Roman"/>
                <w:sz w:val="20"/>
              </w:rPr>
              <w:t xml:space="preserve">, </w:t>
            </w:r>
            <w:hyperlink r:id="rId26">
              <w:r>
                <w:rPr>
                  <w:rStyle w:val="InternetLink"/>
                  <w:rFonts w:ascii="Times New Roman" w:hAnsi="Times New Roman"/>
                  <w:sz w:val="20"/>
                </w:rPr>
                <w:t>July  8, 2024</w:t>
              </w:r>
            </w:hyperlink>
            <w:r>
              <w:rPr>
                <w:rFonts w:ascii="Times New Roman" w:hAnsi="Times New Roman"/>
                <w:sz w:val="20"/>
              </w:rPr>
              <w:t xml:space="preserve">, </w:t>
            </w:r>
            <w:hyperlink r:id="rId27">
              <w:r>
                <w:rPr>
                  <w:rStyle w:val="InternetLink"/>
                  <w:rFonts w:ascii="Times New Roman" w:hAnsi="Times New Roman"/>
                  <w:sz w:val="20"/>
                </w:rPr>
                <w:t>July  9, 2024</w:t>
              </w:r>
            </w:hyperlink>
            <w:r>
              <w:rPr>
                <w:rFonts w:ascii="Times New Roman" w:hAnsi="Times New Roman"/>
                <w:sz w:val="20"/>
              </w:rPr>
              <w:t xml:space="preserve">, </w:t>
            </w:r>
            <w:hyperlink r:id="rId28">
              <w:r>
                <w:rPr>
                  <w:rStyle w:val="InternetLink"/>
                  <w:rFonts w:ascii="Times New Roman" w:hAnsi="Times New Roman"/>
                  <w:sz w:val="20"/>
                </w:rPr>
                <w:t>August  1, 2024</w:t>
              </w:r>
            </w:hyperlink>
            <w:r>
              <w:rPr>
                <w:rFonts w:ascii="Times New Roman" w:hAnsi="Times New Roman"/>
                <w:sz w:val="20"/>
              </w:rPr>
              <w:t xml:space="preserve">, </w:t>
            </w:r>
            <w:hyperlink r:id="rId29">
              <w:r>
                <w:rPr>
                  <w:rStyle w:val="InternetLink"/>
                  <w:rFonts w:ascii="Times New Roman" w:hAnsi="Times New Roman"/>
                  <w:sz w:val="20"/>
                </w:rPr>
                <w:t>August  1, 2024</w:t>
              </w:r>
            </w:hyperlink>
            <w:r>
              <w:rPr>
                <w:rFonts w:ascii="Times New Roman" w:hAnsi="Times New Roman"/>
                <w:sz w:val="20"/>
              </w:rPr>
              <w:t xml:space="preserve"> </w:t>
            </w:r>
            <w:hyperlink r:id="rId30">
              <w:r>
                <w:rPr>
                  <w:rStyle w:val="InternetLink"/>
                  <w:rFonts w:ascii="Times New Roman" w:hAnsi="Times New Roman"/>
                  <w:sz w:val="20"/>
                </w:rPr>
                <w:t>August  12, 2024</w:t>
              </w:r>
            </w:hyperlink>
            <w:r>
              <w:rPr>
                <w:rFonts w:ascii="Times New Roman" w:hAnsi="Times New Roman"/>
                <w:sz w:val="20"/>
              </w:rPr>
              <w:t xml:space="preserve">, </w:t>
            </w:r>
            <w:hyperlink r:id="rId31">
              <w:r>
                <w:rPr>
                  <w:rStyle w:val="InternetLink"/>
                  <w:rFonts w:ascii="Times New Roman" w:hAnsi="Times New Roman"/>
                  <w:sz w:val="20"/>
                </w:rPr>
                <w:t>August  19, 2024</w:t>
              </w:r>
            </w:hyperlink>
            <w:r>
              <w:rPr>
                <w:rFonts w:ascii="Times New Roman" w:hAnsi="Times New Roman"/>
                <w:sz w:val="20"/>
              </w:rPr>
              <w:t xml:space="preserve">, </w:t>
            </w:r>
            <w:hyperlink r:id="rId32">
              <w:r>
                <w:rPr>
                  <w:rStyle w:val="InternetLink"/>
                  <w:rFonts w:ascii="Times New Roman" w:hAnsi="Times New Roman"/>
                  <w:sz w:val="20"/>
                </w:rPr>
                <w:t>August  26, 2025</w:t>
              </w:r>
            </w:hyperlink>
            <w:r>
              <w:rPr>
                <w:rFonts w:ascii="Times New Roman" w:hAnsi="Times New Roman"/>
                <w:sz w:val="20"/>
              </w:rPr>
              <w:t xml:space="preserve">, </w:t>
            </w:r>
            <w:hyperlink r:id="rId33">
              <w:r>
                <w:rPr>
                  <w:rStyle w:val="InternetLink"/>
                  <w:rFonts w:ascii="Times New Roman" w:hAnsi="Times New Roman"/>
                  <w:sz w:val="20"/>
                </w:rPr>
                <w:t>September  5, 2024</w:t>
              </w:r>
            </w:hyperlink>
            <w:r>
              <w:rPr>
                <w:rFonts w:ascii="Times New Roman" w:hAnsi="Times New Roman"/>
                <w:sz w:val="20"/>
              </w:rPr>
              <w:t xml:space="preserve">, </w:t>
            </w:r>
            <w:hyperlink r:id="rId34">
              <w:r>
                <w:rPr>
                  <w:rStyle w:val="InternetLink"/>
                  <w:rFonts w:ascii="Times New Roman" w:hAnsi="Times New Roman"/>
                  <w:sz w:val="20"/>
                </w:rPr>
                <w:t>September  6, 2024</w:t>
              </w:r>
            </w:hyperlink>
            <w:r>
              <w:rPr>
                <w:rFonts w:ascii="Times New Roman" w:hAnsi="Times New Roman"/>
                <w:sz w:val="20"/>
              </w:rPr>
              <w:t xml:space="preserve">. </w:t>
            </w:r>
            <w:hyperlink r:id="rId35">
              <w:r>
                <w:rPr>
                  <w:rStyle w:val="InternetLink"/>
                  <w:rFonts w:ascii="Times New Roman" w:hAnsi="Times New Roman"/>
                  <w:sz w:val="20"/>
                </w:rPr>
                <w:t>September  12, 2024</w:t>
              </w:r>
            </w:hyperlink>
            <w:r>
              <w:rPr>
                <w:rFonts w:ascii="Times New Roman" w:hAnsi="Times New Roman"/>
                <w:sz w:val="20"/>
              </w:rPr>
              <w:t xml:space="preserve"> and </w:t>
            </w:r>
            <w:hyperlink r:id="rId36">
              <w:r>
                <w:rPr>
                  <w:rStyle w:val="InternetLink"/>
                  <w:rFonts w:ascii="Times New Roman" w:hAnsi="Times New Roman"/>
                  <w:sz w:val="20"/>
                </w:rPr>
                <w:t>September 16, 2024</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following sections in our Registration Statement on Form S-4 (File No. 333-279048), filed with the SEC on </w:t>
            </w:r>
            <w:hyperlink r:id="rId37">
              <w:r>
                <w:rPr>
                  <w:rStyle w:val="InternetLink"/>
                  <w:rFonts w:ascii="Times New Roman" w:hAnsi="Times New Roman"/>
                  <w:sz w:val="20"/>
                </w:rPr>
                <w:t>May  1, 2024</w:t>
              </w:r>
            </w:hyperlink>
            <w:r>
              <w:rPr>
                <w:rFonts w:ascii="Times New Roman" w:hAnsi="Times New Roman"/>
                <w:sz w:val="20"/>
              </w:rPr>
              <w:t xml:space="preserve">, as amended on </w:t>
            </w:r>
            <w:hyperlink r:id="rId38">
              <w:r>
                <w:rPr>
                  <w:rStyle w:val="InternetLink"/>
                  <w:rFonts w:ascii="Times New Roman" w:hAnsi="Times New Roman"/>
                  <w:sz w:val="20"/>
                </w:rPr>
                <w:t>June  14, 2024</w:t>
              </w:r>
            </w:hyperlink>
            <w:r>
              <w:rPr>
                <w:rFonts w:ascii="Times New Roman" w:hAnsi="Times New Roman"/>
                <w:sz w:val="20"/>
              </w:rPr>
              <w:t xml:space="preserve"> and on </w:t>
            </w:r>
            <w:hyperlink r:id="rId39">
              <w:r>
                <w:rPr>
                  <w:rStyle w:val="InternetLink"/>
                  <w:rFonts w:ascii="Times New Roman" w:hAnsi="Times New Roman"/>
                  <w:sz w:val="20"/>
                </w:rPr>
                <w:t>August 5, 2024</w:t>
              </w:r>
            </w:hyperlink>
            <w:r>
              <w:rPr>
                <w:rFonts w:ascii="Times New Roman" w:hAnsi="Times New Roman"/>
                <w:sz w:val="20"/>
              </w:rPr>
              <w:t xml:space="preserve"> (the “Form S-4”): Risk Factors—Risks Relating to the Combined Company, Risk Factors—Other Risks Relating to Innovex, Risk Factors—Other Risks Relating to Dril-Quip, Innovex Business, and Executive Compensation of the Combined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included in </w:t>
            </w:r>
            <w:hyperlink r:id="rId40">
              <w:r>
                <w:rPr>
                  <w:rStyle w:val="InternetLink"/>
                  <w:rFonts w:ascii="Times New Roman" w:hAnsi="Times New Roman"/>
                  <w:sz w:val="20"/>
                </w:rPr>
                <w:t>Exhibit 4.2</w:t>
              </w:r>
            </w:hyperlink>
            <w:r>
              <w:rPr>
                <w:rFonts w:ascii="Times New Roman" w:hAnsi="Times New Roman"/>
                <w:sz w:val="20"/>
              </w:rPr>
              <w:t xml:space="preserve"> to our Annual Report on Form 10-K for the year ended December  31, 2019 (which updates the description of our the common stock contained in the Registration Statement on </w:t>
            </w:r>
            <w:hyperlink r:id="rId41">
              <w:r>
                <w:rPr>
                  <w:rStyle w:val="InternetLink"/>
                  <w:rFonts w:ascii="Times New Roman" w:hAnsi="Times New Roman"/>
                  <w:sz w:val="20"/>
                </w:rPr>
                <w:t>Form 8-A/A</w:t>
              </w:r>
            </w:hyperlink>
            <w:r>
              <w:rPr>
                <w:rFonts w:ascii="Times New Roman" w:hAnsi="Times New Roman"/>
                <w:sz w:val="20"/>
              </w:rPr>
              <w:t xml:space="preserve"> filed with the SEC on October 17, 1997), including all other amendments or reports filed with the SEC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incorporate by reference in this prospectus any future filings made by Innovex with the SEC under Sections 13(a), 13(c), 14, or 15(d) of the Exchange Act (excluding any information furnished and not filed with the SEC) after the date on which the registration statement that includes this prospectus was initially filed with the SEC and until all offerings under this shelf registration statement are terminated.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a document incorporated by reference herein shall be deemed to be modified or superseded for all purposes to the extent that a statement contained in this prospectus or in any other subsequently filed document which is also incorporated or deemed to be incorporated by reference modifies or supersedes such statement. Any statement so modified or superseded shall not be deemed, except as so modified or superseded, to constitute a part of this prospectus. You may request a copy of these filings (other than an exhibit to a filing unless that exhibit is specifically incorporated by reference into that filing) at no cost by writing or telephoning us at the following address and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Innovex International, Inc.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19120 Kenswick Drive </w:t>
      </w:r>
    </w:p>
    <w:p>
      <w:pPr>
        <w:pStyle w:val="TextBody"/>
        <w:bidi w:val="0"/>
        <w:spacing w:before="0" w:after="0"/>
        <w:jc w:val="center"/>
        <w:rPr>
          <w:rFonts w:ascii="Times New Roman" w:hAnsi="Times New Roman"/>
          <w:sz w:val="20"/>
        </w:rPr>
      </w:pPr>
      <w:r>
        <w:rPr>
          <w:rFonts w:ascii="Times New Roman" w:hAnsi="Times New Roman"/>
          <w:sz w:val="20"/>
        </w:rPr>
        <w:t xml:space="preserve">Humble, Texas 77338 </w:t>
      </w:r>
    </w:p>
    <w:p>
      <w:pPr>
        <w:pStyle w:val="TextBody"/>
        <w:bidi w:val="0"/>
        <w:spacing w:before="0" w:after="0"/>
        <w:jc w:val="center"/>
        <w:rPr>
          <w:rFonts w:ascii="Times New Roman" w:hAnsi="Times New Roman"/>
          <w:sz w:val="20"/>
        </w:rPr>
      </w:pPr>
      <w:r>
        <w:rPr>
          <w:rFonts w:ascii="Times New Roman" w:hAnsi="Times New Roman"/>
          <w:sz w:val="20"/>
        </w:rPr>
        <w:t xml:space="preserve">(346) 398-0000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32791_3"/>
      <w:bookmarkEnd w:id="19"/>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includes certain statements that may be deemed to be “forward-looking statements” within the meaning of Section 27A of the Securities Act, and Section 21E of the Exchange Act. Statements contained in all parts of this document that are not historical facts are forward-looking statements that involve risks and uncertainties that are beyond the control of the Company. You can identify the Company’s forward-looking statements by the words “anticipate,” “estimate,” “expect,” “may,” “project,” “believe” and similar expressions, or by the Company’s discussion of strategies or trends. Although the Company believes that the expectations reflected in such forward-looking statements are reasonable, no assurance can be given that these expectations will prove to be correct. These forward-looking statements include the following types of information and statements as they relate to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actions taken by the Organization of Petroleum Exporting Countries and the expanded alliance (OPEC+) with respect to their production levels and the effects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the Mergers (as defined herein), including the ultimate outcome and results of integrating the operations of Dril-Quip, Inc. (“Dril-Quip”) and Innovex Downhole; the effects of the business combination on Dril-Quip and Innovex Downhole, including the Company’s future financial condition, results of operations, strategy and plans; potential adverse reactions or changes to business relationships resulting from the announcement or completion of the Mergers; expected benefits from the Mergers and the ability of the Company to realize those benefits; the significant costs required to integrate operations of Dril-Quip and Innovex Downhole; whether merger-related litigation will occur and, if so, the results of any litigation, settlements and investigations;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the acquisition of 1185641 B.C. LTD (d/b/a Great North Wellhead and Frac), including the risk that the benefits of the transaction may not be fully realized or may take longer to realize than expected;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general economic conditions, including inflationary pressures and interest rates, a general economic slowdown or recession or instability in financial institutions, on economic activity and on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operating results and cash flow;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scheduled, budgeted and other future capital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planned or estimated cost savings;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working capital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need for and the availability of expected sources of liquidity;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introduction into the market of the Company’s future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ability to deliver its bookings in a timely fashion;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for the Company’s existing and future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ability to develop new applications for its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exploration, development and production activities of the Company’s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present and future environmental, social, and governance (ESG) standards and regulations and costs associated with environmentally related penalties, capital expenditures, remedial actions and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effects of pending legal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customers’ future product and service requirements that may not be cost effective or within the Company’s capabilities;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operations, financial results, business plans and cash needs;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overall timing and level of transition of the global energy sector from fossil-based systems of energy production and consumption to more renewable energy sources.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statements are based on assumptions and analysis in light of the Company’s experience and perception of historical trends, current conditions, expected future developments and other factors the Company believes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While it is not possible to identify all factors, the Company continues to face many risks and uncertainties. Among the factors that could cause actual future results to differ materially are the risks and uncertainties discussed under “Item 1A. Risk Factors” in our Annual Report on Form 10-K for the year ended December 31, 2023, as amended by Form 10-K/A filed with the SEC on July 8, 2024 and Form 10-K/A (Amendment No. 2) filed with the SEC on August 1, 2024, and our Quarterly Report on Form 10-Q/A for the period ended March 31, 2024, filed with the SEC on July 8, 2024, under “Risk Factors” in our Form S-4 to the extent incorporated by reference herein and in any accompanying prospectus supplement, in other filings made by us from time to time with the SEC or in materials incorporated herein or therein. </w:t>
      </w:r>
    </w:p>
    <w:p>
      <w:pPr>
        <w:pStyle w:val="TextBody"/>
        <w:bidi w:val="0"/>
        <w:spacing w:before="240" w:after="0"/>
        <w:jc w:val="left"/>
        <w:rPr>
          <w:rFonts w:ascii="Times New Roman" w:hAnsi="Times New Roman"/>
          <w:sz w:val="20"/>
        </w:rPr>
      </w:pPr>
      <w:r>
        <w:rPr>
          <w:rFonts w:ascii="Times New Roman" w:hAnsi="Times New Roman"/>
          <w:sz w:val="20"/>
        </w:rPr>
        <w:t xml:space="preserve">Many of such factors are beyond the Company’s ability to control or predict. Any of the factors, or a combination of these factors, could materially affect the Company’s future results of operations and the ultimate accuracy of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the Company undertakes no obligation to publicly update or revise any forward-looking statement except as may be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32791_4"/>
      <w:bookmarkEnd w:id="20"/>
      <w:r>
        <w:rPr>
          <w:rFonts w:ascii="Times New Roman" w:hAnsi="Times New Roman"/>
          <w:b/>
          <w:sz w:val="20"/>
        </w:rPr>
        <w:t xml:space="preserve">INNOVEX INTERNATIONAL, INC. </w:t>
      </w:r>
    </w:p>
    <w:p>
      <w:pPr>
        <w:pStyle w:val="TextBody"/>
        <w:bidi w:val="0"/>
        <w:spacing w:before="240" w:after="0"/>
        <w:jc w:val="left"/>
        <w:rPr>
          <w:rFonts w:ascii="Times New Roman" w:hAnsi="Times New Roman"/>
          <w:sz w:val="20"/>
        </w:rPr>
      </w:pPr>
      <w:r>
        <w:rPr>
          <w:rFonts w:ascii="Times New Roman" w:hAnsi="Times New Roman"/>
          <w:sz w:val="20"/>
        </w:rPr>
        <w:t xml:space="preserve">We are a Houston-based company established in 2024 following the merger of Dril-Quip and Innovex Downhole Solutions, Inc. Our comprehensive portfolio extends throughout the lifecycle of the well, and innovative product integration ensures seamless transitions from one well phase to the next, driving efficiency, lowering cost, and reducing the rig site service footprint for the customer. We have locations throughout North America, Latin America, Europe, the Middle East and Asia, where we provide technical expertise, conventional and innovative technologies, and customer service. Our common stock is listed on the New York Stock Exchange (“NYSE”) under the symbol “INVX.” </w:t>
      </w:r>
    </w:p>
    <w:p>
      <w:pPr>
        <w:pStyle w:val="TextBody"/>
        <w:bidi w:val="0"/>
        <w:spacing w:before="240" w:after="0"/>
        <w:jc w:val="left"/>
        <w:rPr>
          <w:rFonts w:ascii="Times New Roman" w:hAnsi="Times New Roman"/>
          <w:sz w:val="20"/>
        </w:rPr>
      </w:pPr>
      <w:r>
        <w:rPr>
          <w:rFonts w:ascii="Times New Roman" w:hAnsi="Times New Roman"/>
          <w:sz w:val="20"/>
        </w:rPr>
        <w:t xml:space="preserve">Our executive offices are located at 19120 Kenswick Drive, Humble, Texas 77338, and the phone number at this address is (346) 398-0000. Our website address is www.innovex-inc.com. We make our periodic reports and other information filed with or furnished to the SEC available free of charge through our website as soon as reasonably practicable after those reports and other information are electronically filed with or furnished to the SEC. Information on our website or any other website is not incorporated by reference into, and does not constitute a part of, this prospectus. </w:t>
      </w:r>
    </w:p>
    <w:p>
      <w:pPr>
        <w:pStyle w:val="TextBody"/>
        <w:bidi w:val="0"/>
        <w:spacing w:before="480" w:after="0"/>
        <w:jc w:val="center"/>
        <w:rPr>
          <w:rFonts w:ascii="Times New Roman" w:hAnsi="Times New Roman"/>
          <w:b/>
          <w:sz w:val="20"/>
        </w:rPr>
      </w:pPr>
      <w:bookmarkStart w:id="21" w:name="tx32791_5"/>
      <w:bookmarkEnd w:id="21"/>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An investment in our securities involves a high degree of risk. You should carefully consider the risk factors and all of the other information included in, or incorporated by reference into, this prospectus, including those included in our most recent Annual Report on Form 10-K, any subsequently filed Quarterly Reports on Form 10-Q and any subsequently filed Current Reports on Form 8-K, which are incorporated herein by reference, our Form S-4 to the extent incorporated by reference herein and those risk factors that may be included in any applicable prospectus supplement, together with all the other information included in this prospectus, any prospectus supplement and the documents we incorporate by reference, in evaluating an investment in our securities. If any of these risks were to occur, our business, financial condition or results of operations could be adversely affected. </w:t>
      </w:r>
    </w:p>
    <w:p>
      <w:pPr>
        <w:pStyle w:val="TextBody"/>
        <w:bidi w:val="0"/>
        <w:spacing w:before="480" w:after="0"/>
        <w:jc w:val="center"/>
        <w:rPr>
          <w:rFonts w:ascii="Times New Roman" w:hAnsi="Times New Roman"/>
          <w:b/>
          <w:sz w:val="20"/>
        </w:rPr>
      </w:pPr>
      <w:bookmarkStart w:id="22" w:name="tx32791_6"/>
      <w:bookmarkEnd w:id="22"/>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All of the shares of common stock covered by this prospectus are being offered and sold by the selling stockholders identified in this prospectus. We will not receive any proceeds from the sale of the common stock by the selling stockholders. See “Selling Stockholders” and “Plan of Distribution” for additional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32791_7"/>
      <w:bookmarkEnd w:id="23"/>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We have prepared this prospectus to allow the selling stockholders identified below to offer and sell from time to time up to an aggregate of 29,369,822 shares of our common stock for their own account, which were issued to the selling stockholders at the closing of the Mergers and are subject to the Lock-Up Restrictions (as defined below). Pursuant to that certain Agreement and Plan of Merger, dated as of March 18, 2024, by and among Dril-Quip, Innovex Downhole, Ironman Merger Sub, Inc. (“Merger Sub Inc.”) and DQ Merger Sub, LLC (“Merger Sub LLC”) (i) Merger Sub Inc. merged with and into Innovex Downhole, with Innovex Downhole continuing as the surviving company (the “First Merger” and the surviving company, the “Surviving Corporation”), and (ii) immediately following the first merger, the Surviving Corporation merged with and into Merger Sub LLC, with Merger Sub LLC surviving the merger as a direct wholly owned subsidiary of Dril-Quip (the “Second Merger” and, together with the first merger, the “Mergers”). Immediately following the consummation of the Mergers, Dril-Quip changed its name to “Innovex International, Inc.” At the closing of the Mergers on September 6, 2024, we entered into a registration rights agreement with the selling stockholders (the “Registration Rights Agreement”), pursuant to which we agreed, as soon as practicable following the closing of the Mergers, but in no event later than 10 business days after the date of the Registration Rights Agreement, to file with the SEC, and use our reasonable best efforts to cause to be declared effective, a shelf registration statement to permit the public resale of all of the “Registrable Securities” (as such term is defined in the Registration Rights Agreement) in accordance with the terms of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We also agreed, subject to the termination provisions discussed below, to use our reasonable best efforts to keep such registration statement continuously effective, supplemented and amended (or file a new shelf registration statement, if applicable, upon expiration of the preceding shelf registration statement) until such time as all Registrable Securities outstanding covered by the registration statement have ceased to be Registrable Securities. The Registration Rights Agreement and our obligations to keep the shelf registration statement effective will terminate as to any selling stockholder when all Registrable Securities held by such selling stockholder no longer constitute Registrable Securities. Under the Registration Rights Agreement, the selling stockholders may request to sell all or a portion of their shares issued in the Mergers in (i) an underwritten offering that is registered pursuant to a registration statement; provided, however, that the selling stockholders are entitled to make a demand for a total of (x) six underwritten offerings in the aggregate or two underwritten offerings during any 12-month period (and no more than one underwritten offering in any 90-day period, subject to certain exceptions) and only if the aggregate value of Registrable Securities to be included in such offering is at least $30 million or (ii) an underwritten registered offering requiring our involvement and of the type which is commonly known as a “block trade,” “overnight offering” or “bought deal” (a “Block Trade”) if the gross proceeds from the Block Trade are expected to be at least $15 million.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are restricted from selling or transferring any of the shares registered hereunder for a period of 180 days from the closing of the Merger without our prior written consent (the “Lock-Up Restrictions”). </w:t>
      </w:r>
    </w:p>
    <w:p>
      <w:pPr>
        <w:pStyle w:val="TextBody"/>
        <w:bidi w:val="0"/>
        <w:spacing w:before="240" w:after="0"/>
        <w:jc w:val="left"/>
        <w:rPr>
          <w:rFonts w:ascii="Times New Roman" w:hAnsi="Times New Roman"/>
          <w:sz w:val="20"/>
        </w:rPr>
      </w:pPr>
      <w:r>
        <w:rPr>
          <w:rFonts w:ascii="Times New Roman" w:hAnsi="Times New Roman"/>
          <w:sz w:val="20"/>
        </w:rPr>
        <w:t xml:space="preserve">We have prepared this prospectus and the registration statement of which it is a part to comply with our registration obligations under the Registration Rights Agreement with respect to the 29,369,822 shares of our common stock issued in the Mergers and beneficially owned by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Registration Rights Agreement, we will pay all expenses relating to the registration and offering of these shares, except that the selling stockholders will pay any underwriting discounts, selling commissions and stock transfer taxes and (subject to certain exceptions) fees and disbursements of counsel for any selling stockholders. Pursuant to the terms of the registration rights agreement, we agreed to indemnify the selling stockholders against certain liabilities, including liabilities under the Securities Act, and the selling stockholders have agreed to indemnify us against certain liabilities, including liabilities under the Securities Act, which may arise from any written information furnished to us by the selling stockholders expressly for use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sets forth the maximum number of shares of our common stock that may be sold by the selling stockholders under the registration statement of which this prospectus forms a part. For purposes of the table below, we assume that the selling stockholders will sell all of their shares of common stock covered by this prospectus. We cannot predict when or in what amount the selling stockholders may sell any of the shares offered by the selling stockholders in this prospectus, if at all. The table also sets forth the name of each selling stockholder, the nature of any position, office or other material relationship which each selling stockholder has had, within the past three years, with us or with any of our predecessors or affiliates, and the number of shares of our common stock to be owned by each selling stockholder after completion of the offering. None of the selling stockholders are a broker-dealer registered under Section 15 of the Exchange Act or an affiliate of a broker-dealer registered under Section 15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We prepared the table based on information provided to us by the selling stockholders. We have not sought to verify such information. Additionally, the selling stockholders may have sold or transferred some or all of their shares of our common stock in transactions exempt from the registration requirements of the Securities Act since the date on which the information in the table was provided to us. Other information about the selling stockholders may also change over time.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07"/>
        <w:gridCol w:w="198"/>
        <w:gridCol w:w="60"/>
        <w:gridCol w:w="1100"/>
        <w:gridCol w:w="60"/>
        <w:gridCol w:w="198"/>
        <w:gridCol w:w="105"/>
        <w:gridCol w:w="774"/>
        <w:gridCol w:w="275"/>
        <w:gridCol w:w="143"/>
        <w:gridCol w:w="82"/>
        <w:gridCol w:w="1524"/>
        <w:gridCol w:w="60"/>
        <w:gridCol w:w="198"/>
        <w:gridCol w:w="119"/>
        <w:gridCol w:w="761"/>
        <w:gridCol w:w="68"/>
        <w:gridCol w:w="212"/>
        <w:gridCol w:w="118"/>
        <w:gridCol w:w="762"/>
        <w:gridCol w:w="281"/>
      </w:tblGrid>
      <w:tr>
        <w:trPr/>
        <w:tc>
          <w:tcPr>
            <w:tcW w:w="3107"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107"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229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of Common</w:t>
              <w:br/>
              <w:t>Stock Beneficially</w:t>
              <w:br/>
              <w:t>Owned Prior to the</w:t>
              <w:br/>
              <w:t>Offering(1)</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6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w:t>
              <w:br/>
              <w:t>Common Stock</w:t>
              <w:br/>
              <w:t>Being Offered</w:t>
              <w:br/>
              <w:t>Hereby</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20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of</w:t>
              <w:br/>
              <w:t>Common Stock</w:t>
              <w:br/>
              <w:t>Beneficially Owned</w:t>
              <w:br/>
              <w:t>After Completion</w:t>
              <w:br/>
              <w:t>of the Offering(2)</w:t>
            </w:r>
          </w:p>
        </w:tc>
        <w:tc>
          <w:tcPr>
            <w:tcW w:w="281" w:type="dxa"/>
            <w:tcBorders/>
            <w:vAlign w:val="bottom"/>
          </w:tcPr>
          <w:p>
            <w:pPr>
              <w:pStyle w:val="TableContents"/>
              <w:bidi w:val="0"/>
              <w:spacing w:before="0" w:after="283"/>
              <w:jc w:val="left"/>
              <w:rPr/>
            </w:pPr>
            <w:r>
              <w:rPr/>
              <w:t> </w:t>
            </w:r>
          </w:p>
        </w:tc>
      </w:tr>
      <w:tr>
        <w:trPr/>
        <w:tc>
          <w:tcPr>
            <w:tcW w:w="310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Selling Stockholders</w:t>
            </w:r>
          </w:p>
        </w:tc>
        <w:tc>
          <w:tcPr>
            <w:tcW w:w="198"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8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Percent(3)</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6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8"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Percent(3)</w:t>
            </w:r>
          </w:p>
        </w:tc>
        <w:tc>
          <w:tcPr>
            <w:tcW w:w="281" w:type="dxa"/>
            <w:tcBorders/>
            <w:vAlign w:val="bottom"/>
          </w:tcPr>
          <w:p>
            <w:pPr>
              <w:pStyle w:val="TableContents"/>
              <w:bidi w:val="0"/>
              <w:spacing w:before="0" w:after="283"/>
              <w:jc w:val="left"/>
              <w:rPr/>
            </w:pPr>
            <w:r>
              <w:rPr/>
              <w:t> </w:t>
            </w:r>
          </w:p>
        </w:tc>
      </w:tr>
      <w:tr>
        <w:trPr/>
        <w:tc>
          <w:tcPr>
            <w:tcW w:w="31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 Funds affiliated with Amberjack Capital Partners, L.P.(4)</w:t>
            </w:r>
          </w:p>
        </w:tc>
        <w:tc>
          <w:tcPr>
            <w:tcW w:w="19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29,369,822</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44.1</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24" w:type="dxa"/>
            <w:tcBorders/>
            <w:shd w:fill="CCEEFF" w:val="clear"/>
            <w:vAlign w:val="bottom"/>
          </w:tcPr>
          <w:p>
            <w:pPr>
              <w:pStyle w:val="TableContents"/>
              <w:bidi w:val="0"/>
              <w:spacing w:before="0" w:after="283"/>
              <w:jc w:val="right"/>
              <w:rPr/>
            </w:pPr>
            <w:r>
              <w:rPr/>
              <w:t>29,369,822</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— </w:t>
            </w:r>
          </w:p>
        </w:tc>
        <w:tc>
          <w:tcPr>
            <w:tcW w:w="281" w:type="dxa"/>
            <w:tcBorders/>
            <w:shd w:fill="CCEEFF" w:val="clear"/>
            <w:vAlign w:val="bottom"/>
          </w:tcPr>
          <w:p>
            <w:pPr>
              <w:pStyle w:val="TableContents"/>
              <w:bidi w:val="0"/>
              <w:spacing w:before="0" w:after="283"/>
              <w:jc w:val="left"/>
              <w:rPr/>
            </w:pPr>
            <w:r>
              <w:rPr/>
              <w:t>% </w:t>
            </w:r>
          </w:p>
        </w:tc>
      </w:tr>
      <w:tr>
        <w:trPr/>
        <w:tc>
          <w:tcPr>
            <w:tcW w:w="310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9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29,369,822</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right"/>
              <w:rPr/>
            </w:pPr>
            <w:r>
              <w:rPr/>
              <w:t>44.1</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24" w:type="dxa"/>
            <w:tcBorders/>
            <w:vAlign w:val="bottom"/>
          </w:tcPr>
          <w:p>
            <w:pPr>
              <w:pStyle w:val="TableContents"/>
              <w:bidi w:val="0"/>
              <w:spacing w:before="0" w:after="283"/>
              <w:jc w:val="right"/>
              <w:rPr/>
            </w:pPr>
            <w:r>
              <w:rPr/>
              <w:t>29,369,822</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— </w:t>
            </w:r>
          </w:p>
        </w:tc>
        <w:tc>
          <w:tcPr>
            <w:tcW w:w="28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Beneficial ownership is determined in accordance with the rules of the SEC, pursuant to which a person is deemed to be a “beneficial owner” of a security if that person has or shares voting power, which includes the power to vote or direct the voting of such security, or investment power, which includes the power to dispose of or to direct the disposition of such security. Under these rules, more than one person may be deemed a beneficial owner of the same securities, and a person may be deemed a beneficial owner of securities as to which such person has no economic interest. Except as otherwise indicated in these footnotes, each of the beneficial owners has, to our knowledge, sole voting and investment power with respect to the indicated shares of common stock.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the selling stockholders dispose of all of the shares of common stock covered by this prospectus and do not acquire beneficial ownership of any additional shares of our common stock held by the selling stockholders.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Percentage of beneficial ownership is based upon 66,636,196 shares of common stock outstanding as of September 16, 2024. Because the selling stockholders are not obligated to sell any portion of the shares of our common stock shown as offered by them, we cannot estimate the actual number or percentage of shares of our common stock that will be held by the selling stockholders upon completion of this offering. However, for purposes of this table, we have assumed that, after completion of the offering, none of the shares covered by this prospectus will be held by the selling stockholders.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21,773,618 shares of common stock held directly by Amberjack Capital Fund II, L.P.; (ii) 5,083,965 shares of common stock held directly by Innovex Co-Invest Fund II, L.P.; (iii) 1,204,903 shares of common stock held directly by Innovex Co-Invest Fund, L.P.; (iv) 1,039,364 shares of common stock held directly by Intervale Capital Fund II, L.P.; (v) 515 shares of common stock held directly by Intervale Capital Fund II-A, L.P.; and (vi) 267,457 shares of common stock held directly by Intervale Capital Fund III, L.P. Funds affiliated with Amberjack Capital Partners, L.P. (“Amberjack Capital Partners” or “Amberjack”) are our principal stockholders (referred to in this prospectus as the “Amberjack Funds”). The general partner of (i) Amberjack Capital Fund II, L.P. is Amberjack Capital GP II, L.P., and the general partner of such general partner is Amberjack Capital Associates II, LLC, (ii) Innovex Co-Invest Fund II,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4"/>
        <w:gridCol w:w="9801"/>
      </w:tblGrid>
      <w:tr>
        <w:trPr/>
        <w:tc>
          <w:tcPr>
            <w:tcW w:w="404" w:type="dxa"/>
            <w:tcBorders/>
            <w:vAlign w:val="center"/>
          </w:tcPr>
          <w:p>
            <w:pPr>
              <w:pStyle w:val="TableContents"/>
              <w:bidi w:val="0"/>
              <w:spacing w:before="0" w:after="283"/>
              <w:jc w:val="left"/>
              <w:rPr/>
            </w:pPr>
            <w:r>
              <w:rPr/>
              <w:t> </w:t>
            </w:r>
          </w:p>
        </w:tc>
        <w:tc>
          <w:tcPr>
            <w:tcW w:w="9801" w:type="dxa"/>
            <w:tcBorders/>
          </w:tcPr>
          <w:p>
            <w:pPr>
              <w:pStyle w:val="TableContents"/>
              <w:bidi w:val="0"/>
              <w:spacing w:before="0" w:after="283"/>
              <w:jc w:val="left"/>
              <w:rPr/>
            </w:pPr>
            <w:r>
              <w:rPr/>
              <w:t xml:space="preserve">L.P. is Innovex Co-Invest Fund II GP, L.P., and the general partner of such general partner is Innovex Co-Invest Associates, LLC, (iii) Innovex Co-Invest Fund, L.P. is Innovex Co-Invest Fund GP, L.P., and the general partner of such general partner is Innovex Co-Invest Associates, LLC, (iv) Intervale Capital Fund II, L.P. is Intervale Capital GP II, L.P., and the general partner of such general partner is Intervale Capital Associates II, LLC, (v) Intervale Capital Fund II-A, L.P. is Intervale Capital GP II, L.P., and the general partner of such general partner is Intervale Capital Associates II, LLC, and (vi) Intervale Capital Fund III, L.P. is Intervale Capital GP III, L.P., and the general partner of such general partner is Intervale Capital Associates III, LLC. By virtue of their relationships, the foregoing general partners control all voting and dispositive power over the reported shares held by such Amberjack Fund and therefore may be deemed to be the beneficial owner of such shares. The members of Amberjack Capital Associates II, LLC, Innovex Co-Invest Associates, LLC, Intervale Capital Associates II, LLC and Intervale Capital Associates III, LLC are W. Patrick Connelly and Jason Turowsky. Amberjack Capital Partners is the investment advisor of the Amberjack Funds and the general partner of Amberjack Capital Partners is Amberjack Management, LLC (“Amberjack Management”). In its role as investment advisor, Amberjack Capital Partners controls all voting and dispositive power over the reported shares held by all the Amberjack Funds and therefore may be deemed to be the beneficial owner of such shares. The address of the Amberjack Funds, Amberjack Capital Partners, Amberjack Management and the other general partners identified above is 1021 Main Street, Suite 1100, Houston, Texas 77002. Mr. Connelly and Mr. Turowsky are co-managing partners of Amberjack Management. The address of Mr. Connelly and Mr. Turowsky is 1021 Main Street, Suite 1100, Houston, Texas 77002. Mr. Connelly and Mr. Turowsky disclaim beneficial ownership of such securities in excess of their pecuniary interests in the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32791_8"/>
      <w:bookmarkEnd w:id="24"/>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is a summary of the terms of our capital stock as contained in our restated certificate of incorporation, as amended by that certain certificate of amendment dated as of September 6, 2024 (our “certificate of incorporation”), and our amended and restated bylaws, as amended by that certain amendment dated as of September 6, 2024 (our “bylaws”), and does not purport to be complete and is qualified in its entirety by reference to the provisions of applicable law, to our certificate of incorporation and to our bylaws, which are filed as exhibits to the registration statement of which this prospectus is a part. </w:t>
      </w:r>
    </w:p>
    <w:p>
      <w:pPr>
        <w:pStyle w:val="TextBody"/>
        <w:bidi w:val="0"/>
        <w:spacing w:before="240" w:after="0"/>
        <w:jc w:val="left"/>
        <w:rPr>
          <w:rFonts w:ascii="Times New Roman" w:hAnsi="Times New Roman"/>
          <w:sz w:val="20"/>
        </w:rPr>
      </w:pPr>
      <w:r>
        <w:rPr>
          <w:rFonts w:ascii="Times New Roman" w:hAnsi="Times New Roman"/>
          <w:sz w:val="20"/>
        </w:rPr>
        <w:t xml:space="preserve">Our authorized capital stock consists of 100,000,000 shares of common stock, par value $0.01 per share, of which 66,636,196 shares were issued and outstanding as of September 16, 2024, and 10,000,000 shares of preferred stock, par value $0.01 per share, of which none were issued and outstanding as of September 16, 2024.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Each share of common stock entitles the holder to one vote on all matters on which holders are permitted to vote, including the election of directors. There are no cumulative voting rights. Accordingly, holders of a majority of the total votes entitled to vote in an election of directors will be able to elect all of the directors standing for election. Subject to preferences that may be applicable to any outstanding preferred stock, the holders of the common stock will share equally on a per share basis any dividends when, as and if declared by the board of directors out of funds legally available for that purpose. If we are liquidated, dissolved or wound up, the holders of our common stock will be entitled to a ratable share of any distribution to stockholders, after satisfaction of all of our liabilities and of the prior rights of any outstanding class of our preferred stock. Our common stock has no preemptive or conversion rights or other subscription rights. There are no redemption or sinking fund provisions applicable to our common stock. All outstanding shares of our common stock are fully paid and nonassessable.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our certificate of incorporation, our board of directors has the authority, without stockholder approval, to issue shares of preferred stock from time to time in one or more series, and to fix the number of shares and terms of each such series. The board may determine the designation and other terms of each series,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dividend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will be cumulative or non-cumulative;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liquidation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sinking fund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conversion or exchange rights;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issuance of preferred stock, while providing us with flexibility in connection with possible acquisitions and other transactions, could adversely affect the voting power of holders of our common stock. It could also affect the likelihood that holders of our common stock will receive dividend payments and payments upon liquidation. </w:t>
      </w:r>
    </w:p>
    <w:p>
      <w:pPr>
        <w:pStyle w:val="TextBody"/>
        <w:bidi w:val="0"/>
        <w:spacing w:before="240" w:after="0"/>
        <w:jc w:val="left"/>
        <w:rPr>
          <w:rFonts w:ascii="Times New Roman" w:hAnsi="Times New Roman"/>
          <w:sz w:val="20"/>
        </w:rPr>
      </w:pPr>
      <w:r>
        <w:rPr>
          <w:rFonts w:ascii="Times New Roman" w:hAnsi="Times New Roman"/>
          <w:sz w:val="20"/>
        </w:rPr>
        <w:t xml:space="preserve">The issuance of shares of preferred stock, or the issuance of rights to purchase shares of preferred stock, could be used to discourage an attempt to obtain control of our company. For example, if, in the exercise of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fiduciary obligations, our board of directors were to determine that a takeover proposal was not in the best interest of our stockholders, the board could authorize the issuance of a series of preferred stock containing class voting rights that would enable the holder or holders of this series to prevent a change of control transaction or make it more difficult. Alternatively, a change of control transaction deemed by the board to be in the best interest of our stockholders could be facilitated by issuing a series of preferred stock having sufficient voting rights to provide a required percentage vote of the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Provisions of Our Certificate of Incorporation and Our Bylaws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our certificate of incorporation and our bylaws, as described below, could have the effect of delaying, deterring or preventing another party from acquiring or seeking to acquire control of us. These provisions are intended to discourage certain types of coercive takeover practices and inadequate takeover bids and to encourage anyone seeking to acquire control of us to negotiate first with our board of directors. However, these provisions may also delay, deter or prevent a change in control or other takeover of Innovex that our stockholders might consider to be in their best interests, including transactions that might result in a premium being paid over the market price of our common stock and also may limit the price that investors are willing to pay in the future for our common stock. These provisions may also have the effect of preventing changes in our management. We believe that the benefits of increased protection give us the potential ability to negotiate with the proponent of an unfriendly or unsolicited proposal to acquire or restructure us, and that the benefits of this increased protection outweigh the disadvantages of discouraging those proposals, because negotiation of those proposals could result in an improvement of their terms. </w:t>
      </w:r>
    </w:p>
    <w:p>
      <w:pPr>
        <w:pStyle w:val="TextBody"/>
        <w:bidi w:val="0"/>
        <w:spacing w:before="360" w:after="0"/>
        <w:jc w:val="left"/>
        <w:rPr>
          <w:rFonts w:ascii="Times New Roman" w:hAnsi="Times New Roman"/>
          <w:i/>
          <w:sz w:val="20"/>
        </w:rPr>
      </w:pPr>
      <w:r>
        <w:rPr>
          <w:rFonts w:ascii="Times New Roman" w:hAnsi="Times New Roman"/>
          <w:i/>
          <w:sz w:val="20"/>
        </w:rPr>
        <w:t xml:space="preserve">Election and 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must consist of between three and 12 directors. The exact number of directors is fixed from time to time by a majority of the directors then in office. Our board of directors is divided into three classes serving staggered three-year terms, with only one class being elected each year by our stockholders. At each annual meeting of stockholders, directors will be elected to succeed the class of directors whose terms have expired. This system of electing and removing directors may discourage a third party from making a tender offer or otherwise attempting to obtain control of us because it generally makes it more difficult for stockholders to replace a majority of the directors. In addition, no director may be removed except for cause, and directors may be removed for cause only by the affirmative vote of shares representing a majority of the shares then entitled to vote at an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Any vacancy occurring on the board of directors and any newly created directorship may only be filled by the affirmative vote of a majority of the remaining directors in office. </w:t>
      </w:r>
    </w:p>
    <w:p>
      <w:pPr>
        <w:pStyle w:val="TextBody"/>
        <w:bidi w:val="0"/>
        <w:spacing w:before="360" w:after="0"/>
        <w:jc w:val="left"/>
        <w:rPr>
          <w:rFonts w:ascii="Times New Roman" w:hAnsi="Times New Roman"/>
          <w:i/>
          <w:sz w:val="20"/>
        </w:rPr>
      </w:pPr>
      <w:r>
        <w:rPr>
          <w:rFonts w:ascii="Times New Roman" w:hAnsi="Times New Roman"/>
          <w:i/>
          <w:sz w:val="20"/>
        </w:rPr>
        <w:t xml:space="preserve">Stockholder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and our bylaws provide that special meetings of our stockholders may be called only by the chairman of our board of directors, the chief executive officer, the president or the board pursuant to a resolution approved by the affirmative vote of a majority of the entire board of directors. </w:t>
      </w:r>
    </w:p>
    <w:p>
      <w:pPr>
        <w:pStyle w:val="TextBody"/>
        <w:bidi w:val="0"/>
        <w:spacing w:before="360" w:after="0"/>
        <w:jc w:val="left"/>
        <w:rPr>
          <w:rFonts w:ascii="Times New Roman" w:hAnsi="Times New Roman"/>
          <w:i/>
          <w:sz w:val="20"/>
        </w:rPr>
      </w:pPr>
      <w:r>
        <w:rPr>
          <w:rFonts w:ascii="Times New Roman" w:hAnsi="Times New Roman"/>
          <w:i/>
          <w:sz w:val="20"/>
        </w:rPr>
        <w:t xml:space="preserve">Stockholder 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that any action required or permitted to be taken by the stockholders of our company must be effected at an annual or special meeting of stockholders and may not be effected by any consent in writing by such stockholders. </w:t>
      </w:r>
    </w:p>
    <w:p>
      <w:pPr>
        <w:pStyle w:val="TextBody"/>
        <w:bidi w:val="0"/>
        <w:spacing w:before="360" w:after="0"/>
        <w:jc w:val="left"/>
        <w:rPr>
          <w:rFonts w:ascii="Times New Roman" w:hAnsi="Times New Roman"/>
          <w:i/>
          <w:sz w:val="20"/>
        </w:rPr>
      </w:pPr>
      <w:r>
        <w:rPr>
          <w:rFonts w:ascii="Times New Roman" w:hAnsi="Times New Roman"/>
          <w:i/>
          <w:sz w:val="20"/>
        </w:rPr>
        <w:t xml:space="preserve">Amendment of Bylaws </w:t>
      </w:r>
    </w:p>
    <w:p>
      <w:pPr>
        <w:pStyle w:val="TextBody"/>
        <w:bidi w:val="0"/>
        <w:spacing w:before="120" w:after="0"/>
        <w:jc w:val="left"/>
        <w:rPr>
          <w:rFonts w:ascii="Times New Roman" w:hAnsi="Times New Roman"/>
          <w:sz w:val="20"/>
        </w:rPr>
      </w:pPr>
      <w:r>
        <w:rPr>
          <w:rFonts w:ascii="Times New Roman" w:hAnsi="Times New Roman"/>
          <w:sz w:val="20"/>
        </w:rPr>
        <w:t xml:space="preserve">Our bylaws may generally be altered, amended or repealed, and new bylaws may be adopted,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subject to the right of stockholders to amend or repeal such bylaws;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affirmative vote of holders of at least two-thirds of the combined voting power of the outstanding shares of all classes of our stock entitled to vote generally in the election of directors, voting together as a single class, at any annual meeting, or at any special meeting if notice of the proposed amendment is contained in the notice of the special meeting.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Other Limitations on Stockholder Actions </w:t>
      </w:r>
    </w:p>
    <w:p>
      <w:pPr>
        <w:pStyle w:val="TextBody"/>
        <w:bidi w:val="0"/>
        <w:spacing w:before="120" w:after="0"/>
        <w:jc w:val="left"/>
        <w:rPr>
          <w:rFonts w:ascii="Times New Roman" w:hAnsi="Times New Roman"/>
          <w:sz w:val="20"/>
        </w:rPr>
      </w:pPr>
      <w:r>
        <w:rPr>
          <w:rFonts w:ascii="Times New Roman" w:hAnsi="Times New Roman"/>
          <w:sz w:val="20"/>
        </w:rPr>
        <w:t xml:space="preserve">Our bylaws also impose some procedural requirements on stockholders who wish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nominations in the election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propose that a director be removed;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propose any repeal or change in our bylaws;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propose any other business to be brought before an annual or special meeting of stockholders.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these procedural requirements, in order to bring a proposal before a meeting of stockholders, a stockholder must deliver timely notice of a proposal pertaining to a proper subject for presentation at the meeting to our corporate secretary along with the information required under our bylaws,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description of the business or nomination to be brought before the meeting and the reasons for conducting such business at the meeting, together with the text of the proposal (including the text of any resolution proposed for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and addresses of any other stockholder known by such stockholder to be supporting the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Disclosable Interests (as defined in our bylaws) of such stockholder or such beneficial owner, if any, or any proposed nominee;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financial interest or other material interest of such stockholder and beneficial owner, if any, in the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representation that such stockholder intends to appear in person or by proxy at the meeting to bring the proposed business before the meeting;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description of all agreements, arrangements and understandings between such stockholder and beneficial owner, if any, and any other person or persons (including their names) in connection with such proposal by such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stockholder providing notice of business proposed to be brought before a meeting shall further update and supplement such notice, if necessary, so that the information provided or required to be provided in such notice shall be true and correct as of the record date for the meeting and as of the date that is ten business days prior to the meeting or any adjournment or postponement thereof. </w:t>
      </w:r>
    </w:p>
    <w:p>
      <w:pPr>
        <w:pStyle w:val="TextBody"/>
        <w:bidi w:val="0"/>
        <w:spacing w:before="240" w:after="0"/>
        <w:jc w:val="left"/>
        <w:rPr>
          <w:rFonts w:ascii="Times New Roman" w:hAnsi="Times New Roman"/>
          <w:sz w:val="20"/>
        </w:rPr>
      </w:pPr>
      <w:r>
        <w:rPr>
          <w:rFonts w:ascii="Times New Roman" w:hAnsi="Times New Roman"/>
          <w:sz w:val="20"/>
        </w:rPr>
        <w:t xml:space="preserve">To be timely, a stockholder’s notice must generally be delivered to, or mailed and received at, our principal executive offices: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an annual meeting of stockholders, not later than the close of the business on the 90th day prior to the first anniversary of the preceding year’s annual meeting; provided however, that in the event that the date of such annual meeting is more than 30 days before or more than 60 days after such anniversary date, a stockholder notice will be timely if received by us not later than the close of business on the later of (1) the 90th day prior to the annual meeting and (2) the 10th day following the day on which we first publicly announce the date of the annual meeting;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election of a director at a special meeting of stockholders, not later than the close of business on the 10th day following the day on which notice of the date of the special meeting was mailed to the stockholders or public disclosure of the date of the special meeting was made, whichever occurs first.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order to submit a nomination for our board of directors, a stockholder must also submit any information with respect to the nominee that we would be required to include in a proxy statement, as well as some other information. If a stockholder fails to follow the required procedures, the stockholder’s proposal or nominee will be ineligible and will not be voted on by our stockholders. </w:t>
      </w:r>
    </w:p>
    <w:p>
      <w:pPr>
        <w:pStyle w:val="TextBody"/>
        <w:bidi w:val="0"/>
        <w:spacing w:before="360" w:after="0"/>
        <w:jc w:val="left"/>
        <w:rPr>
          <w:rFonts w:ascii="Times New Roman" w:hAnsi="Times New Roman"/>
          <w:i/>
          <w:sz w:val="20"/>
        </w:rPr>
      </w:pPr>
      <w:r>
        <w:rPr>
          <w:rFonts w:ascii="Times New Roman" w:hAnsi="Times New Roman"/>
          <w:i/>
          <w:sz w:val="20"/>
        </w:rPr>
        <w:t xml:space="preserve">Limitation on Liability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that no director will be personally liable to us or our stockholders for monetary damages for breach of fiduciary duties as a director, except as required by applicable law, as in effect from time to time. Currently, Delaware law requires that liability be imposed for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breach of the director’s duty of loyalty to our company or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 or omission not in good faith or which involved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unlawful payments of dividends or unlawful stock repurchases or redemptions as provided in Section 174 of the Delaware General Corporation Law (the “DGCL”);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from which the director derived an improper personal benefit.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bylaws provide that, to the fullest extent permitted by the DGCL, we will indemnify any of our officers and directors against all expense, liability and loss (including attorneys’ fees, judgments, fines, ERISA excise taxes, penalties and amounts paid in settlement) reasonably incurred or suffered arising out of the fact that the person is or was our director or officer, or served any other enterprise at our request as a director, officer, employee, agent or fiduciary. We will advance the expenses, including attorneys’ fees, incurred by a person indemnified by this provision when we receive an undertaking to repay such amounts if it is ultimately determined that the person is not entitled to be indemnified by us. </w:t>
      </w:r>
    </w:p>
    <w:p>
      <w:pPr>
        <w:pStyle w:val="TextBody"/>
        <w:bidi w:val="0"/>
        <w:spacing w:before="360" w:after="0"/>
        <w:jc w:val="left"/>
        <w:rPr>
          <w:rFonts w:ascii="Times New Roman" w:hAnsi="Times New Roman"/>
          <w:b/>
          <w:sz w:val="20"/>
        </w:rPr>
      </w:pPr>
      <w:r>
        <w:rPr>
          <w:rFonts w:ascii="Times New Roman" w:hAnsi="Times New Roman"/>
          <w:b/>
          <w:sz w:val="20"/>
        </w:rPr>
        <w:t xml:space="preserve">Transactions and Corporate Opportunities </w:t>
      </w:r>
    </w:p>
    <w:p>
      <w:pPr>
        <w:pStyle w:val="TextBody"/>
        <w:bidi w:val="0"/>
        <w:spacing w:before="120" w:after="0"/>
        <w:jc w:val="left"/>
        <w:rPr>
          <w:rFonts w:ascii="Times New Roman" w:hAnsi="Times New Roman"/>
          <w:sz w:val="20"/>
        </w:rPr>
      </w:pPr>
      <w:r>
        <w:rPr>
          <w:rFonts w:ascii="Times New Roman" w:hAnsi="Times New Roman"/>
          <w:sz w:val="20"/>
        </w:rPr>
        <w:t xml:space="preserve">In order to approve certain transactions involving related persons, our certificate of incorporation requires the affirmative vote of the holders of (1) not less than 80% of the then outstanding voting stock held by stockholders voting together as a single class and (2) not less than 66 2/3% of the then outstanding voting stock not beneficially owned, directly or indirectly, by the related person. These transactions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consolidation or share exchange of us or any of our subsidiaries with (1) any related person or (2) any other person who is, or after such merger, consolidation, or share exchange would be, directly or indirectly an affiliate of the related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sale, lease, exchange, mortgage, pledge, transfer or other disposition by us or any of our subsidiaries to any related person or an affiliate of a related person or by any related person or an affiliate of a related person to us or any of our subsidiaries, of any assets or properties having an aggregate fair market value of $10,000,000 or more;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issuance or transfer by us or any of our subsidiaries of any of our securities or any of our subsidiaries’ securities to any related person or an affiliate of a related person (subject to certain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dissolution voluntarily caused or proposed by or on behalf of a related person or an affiliate of a related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reclassification of securities or recapitalization of us, or any merger, consolidation or share exchange of us with any of our subsidiaries or any other transaction that has the effect, either directly or indirectly, of increasing by more than 1% the proportionate share of the outstanding stock of any class or series or the securities convertible into stock of any class or series of us or any of our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0"/>
        <w:gridCol w:w="9295"/>
      </w:tblGrid>
      <w:tr>
        <w:trPr/>
        <w:tc>
          <w:tcPr>
            <w:tcW w:w="910" w:type="dxa"/>
            <w:tcBorders/>
            <w:vAlign w:val="center"/>
          </w:tcPr>
          <w:p>
            <w:pPr>
              <w:pStyle w:val="TableContents"/>
              <w:bidi w:val="0"/>
              <w:spacing w:before="0" w:after="283"/>
              <w:jc w:val="left"/>
              <w:rPr/>
            </w:pPr>
            <w:r>
              <w:rPr/>
              <w:t> </w:t>
            </w:r>
          </w:p>
        </w:tc>
        <w:tc>
          <w:tcPr>
            <w:tcW w:w="92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subsidiaries that is directly or indirectly owned by any related person or an affiliate of a related person or otherwise increasing the voting power of the outstanding stock of us or any of our subsidiaries that is held by any such related person or affiliate;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series or combination of transactions having, directly or indirectly, the same effect as any of the foregoing;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agreement, contract, or other arrangement providing, directly or indirectly, for any of the foregoing transactions mentioned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related person is a person or entity who or which (1) is the beneficial owner of 10% or more of the aggregate voting power of all of our outstanding stock; (2) is one of our affiliates and at any time within the two-year period immediately prior to the date in question was the beneficial owner of 10% or more of the aggregate voting power of all of our outstanding stock; or (3) is an assignee of or has otherwise succeeded to any shares of our stock that were at any time within the two-year period immediately prior to the date in question beneficially owned by any related person, if such assignment or succession shall have occurred in the course of a privately negotiated transaction rather than an open market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These voting requirements do not apply, however, to a business combination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cash, property, securities or other consideration to be received per share by holders of each and every outstanding class or series of our shares in the business combination meets certain requirements;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majority of the continuing directors shall have approved the business combination.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Stockholders’ Agreement, dated as of September 6, 2024, by and among the Company, Amberjack and the selling stockholders, we have agreed, to the fullest extent permitted by the DGCL and subject to applicable legal requirements and any express agreement, that the Amberjack Funds and their respective affiliates and each Amberjack board designee that is also a director, officer, employee or other representative of Amberjack (collectively, the “Covered Persons”) may, and has no duty not to, (i) invest in, carry on and conduct any business of any kind, nature or description, whether or not such business is competitive with or in the same or similar lines of business as us or any of our subsidiaries, (ii) do business with any client, customer, vendor or lessor of any of us or our affiliates, and/or (iii) make investments in any kind of property in which we or our subsidiaries may make investments. In addition, to the fullest extent permitted by the DGCL or any other applicable law, we have renounce any interest or expectancy to participate in any business, business opportunity, transaction, investment or other matter of any Covered Person as currently conducted or as may be conducted in the future, and waives any claim against a Covered Person and shall indemnify a Covered Person against any claim that such Covered Person is liable to us or our stockholders for breach of any fiduciary duty or otherwise solely by reason of such Covered Person’s participation in, or failure to offer or communicate to us, its subsidiaries or any controlled affiliates any information regarding, any such business opportunity.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Delaware Law </w:t>
      </w:r>
    </w:p>
    <w:p>
      <w:pPr>
        <w:pStyle w:val="TextBody"/>
        <w:bidi w:val="0"/>
        <w:spacing w:before="120" w:after="0"/>
        <w:jc w:val="left"/>
        <w:rPr>
          <w:rFonts w:ascii="Times New Roman" w:hAnsi="Times New Roman"/>
          <w:sz w:val="20"/>
        </w:rPr>
      </w:pPr>
      <w:r>
        <w:rPr>
          <w:rFonts w:ascii="Times New Roman" w:hAnsi="Times New Roman"/>
          <w:sz w:val="20"/>
        </w:rPr>
        <w:t xml:space="preserve">We are a Delaware corporation and are subject to Section 203 of the DGCL. Section 203 provides that we may not engage in a broad range of “business combinations” with any “interested stockholder” for a three-year period following the time that the person became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time that person became an interested stockholder, our board of directors had approved either the business combination or the transaction that resulted in the person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that resulted in the person becoming an interested stockholder, that person owned at least 85% of our voting stock outstanding at the time the transaction commenced, excluding shares owned by persons who are directors and also officers and shares owned in employee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stock plans in which participants do not have the right to determine confidentially whether shares held subject to the plan will be tendered in a tender or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subsequent to the time that person became an interested stockholder, the business combination is approved by our board of directors and by the affirmative vote of at least 66 2/3% of the outstanding voting stock that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Generally, a business combination includes a merger, consolidation,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voting stock. Under Section 203, the restrictions described above also do not apply to specific business combinations proposed by an interested stockholder following the announcement or notification of designated extraordinary transactions involving the corporation and a person who had not been an interested stockholder during the previous three years or who became an interested stockholder with the approval of a majority of the corporation’s directors, if such extraordinary transaction is approved or not opposed by a majority of the directors who were directors prior to any person becoming an interested stockholder during the previous three years or were recommended for election or elected to succeed such directors by a majority of such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203 could prohibit or delay mergers or other takeover or change in control attempts with respect to us and, accordingly, may discourage attempts to acquire us. </w:t>
      </w:r>
    </w:p>
    <w:p>
      <w:pPr>
        <w:pStyle w:val="TextBody"/>
        <w:bidi w:val="0"/>
        <w:spacing w:before="360" w:after="0"/>
        <w:jc w:val="left"/>
        <w:rPr>
          <w:rFonts w:ascii="Times New Roman" w:hAnsi="Times New Roman"/>
          <w:b/>
          <w:sz w:val="20"/>
        </w:rPr>
      </w:pPr>
      <w:r>
        <w:rPr>
          <w:rFonts w:ascii="Times New Roman" w:hAnsi="Times New Roman"/>
          <w:b/>
          <w:sz w:val="20"/>
        </w:rPr>
        <w:t xml:space="preserve">Exclusive Forum Provision </w:t>
      </w:r>
    </w:p>
    <w:p>
      <w:pPr>
        <w:pStyle w:val="TextBody"/>
        <w:bidi w:val="0"/>
        <w:spacing w:before="120" w:after="0"/>
        <w:jc w:val="left"/>
        <w:rPr>
          <w:rFonts w:ascii="Times New Roman" w:hAnsi="Times New Roman"/>
          <w:sz w:val="20"/>
        </w:rPr>
      </w:pPr>
      <w:r>
        <w:rPr>
          <w:rFonts w:ascii="Times New Roman" w:hAnsi="Times New Roman"/>
          <w:sz w:val="20"/>
        </w:rPr>
        <w:t xml:space="preserve">Our bylaws provide that, unless we consent in writing to the selection of an alternative forum, the exclusive forum for (1) any derivative action or proceeding brought on our behalf, (2) any action asserting a claim of breach of a fiduciary duty owed by any current or former director, officer, other employee or stockholder to us or our stockholders, (3) any action asserting a claim arising pursuant to any provision of the DGCL, our certificate of incorporation or our bylaws or as to which the DGCL confers jurisdiction on the Court of Chancery of the State of Delaware or (4) any action asserting a claim governed by the internal affairs doctrine of the law of the State of Delaware shall, to the fullest extent permitted by law, be the Court of Chancery of the State of Delaware (or, if the Court of Chancery does not have subject matter jurisdiction thereof, the federal district court for the District of Delaware). Our bylaws also provide that, unless we consent in writing to the selection of an alternative forum, the federal district courts of the United States will be the exclusive forum for resolving any complaint asserting a cause of action arising under the Securities Act. This provision will not apply to any claims seeking to enforce any duty or liability created by the Exchange Act. Any person or entity purchasing or otherwise acquiring or holding any interest in shares of our capital stock is deemed to have notice of and consented to the these provisions of our bylaws. These provisions may limit a stockholder’s ability to bring a claim in a judicial forum that it finds favorable for disputes with us or our directors, officers or other employees, which may discourage such lawsuits against us and our directors, officers and other employees.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Computershare Shareowner Services LLC is the transfer agent and registrar for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32791_9"/>
      <w:bookmarkEnd w:id="25"/>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from time to time, sell, transfer or otherwise dispose of any or all of the common stock offered by this prospectus or any applicable prospectus supplement on any stock exchange, market or trading facility on which such common stock is traded or in private transactions. These dispositions may be at fixed prices, at prevailing market prices at the time of sale, at prices related to the prevailing market price, at varying prices determined at the time of sale or at negotiated prices. These prices will be determined by the selling stockholders or by agreement between the selling stockholders and underwriters, broker-dealers or agents who may receive fees or commissions in connection with any such sale.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use any one or more of the following methods when disposing of the offered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on the NYSE or any national securities exchange or quotation service on which our common stock may be listed or quoted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over-the-counter sale or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directly to one or more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underwritten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common stock as agent, but may position and resell a portion of the block as principal to facilitate the transaction, or in crosses in which the same broker acts as agent on both sides;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and/or secondary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to cover short sales effected after the date of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to sell a specified number of such common stock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distributions of the shares by the selling stockholders to their respective general or limited partners, members, managers affiliates, employees, directors or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option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elect to make an in-kind distribution of its shares of common stock to their respective members, partners or stockholders. To the extent that such members, partners or stockholders are not affiliates of ours, such members, partners or stockholders would thereby receive freely tradeable shares of our common stock pursuant to the distribution through this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selling stockholders may also sell the shares of common stock under Rule 144 or any other exemption from registration under the Securities Act, if, when and to the extent such exemption is available to them at the time of such sale, rather than under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Broker-dealers engaged by the selling stockholders may arrange for other brokers-dealers to participate in sales. Broker-dealers may receive commissions or discounts from the selling stockholders (or, if any broker-dealer acts as agent for the purchaser of common stock, from the purchaser) in amounts to be negotiated, but, except as set forth in a supplement to this prospectus, in the case of an agency transaction not in excess of a customary brokerage commission in compliance with Financial Industry Regulatory Authority (“FINRA”) Rule 5110; and in the case of a principal transaction a markup or markdown in compliance with FINRA Rule 2121.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the common stock, the selling stockholders may enter into hedging transactions with broker-dealers or other financial institutions, which may in turn engage in short sales of the common stock in the course of hedging the positions they assume. The selling stockholders may also sell common stock short and deliver these shares to close out its short positions, or loan or pledge the securities to broker-dealers that in turn may sell these shares.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from time to time pledge or grant a security interest in some or all of the shares of common stock owned by them and, if they default in the performance of their secured obligations, the pledgees or secured parties may offer and sell common stock from time to time under this prospectus, or, to the extent required under the applicable securities laws, under an amendment to this prospectus under Rule 424 or other applicable provision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If the selling stockholders use one or more underwriters in the sale, the underwriters will acquire the securities for their own account, and they may resell these securities from time to time in one or more transactions, including negotiated transactions, at a fixed public offering price or at varying prices determined at the time of sale. The securities may be offered and sold to the public either through underwriting syndicates represented by one or more managing underwriters or directly by one or more of such firms. The selling stockholders and any underwriters, broker-dealers or agents that are involved in selling the securities may be deemed to be “underwriters” within the meaning of the Securities Act in connection with such sales. The securities may be offered and sold to the public either through underwriting syndicates represented by one or more managing underwriters or directly by one or more of such firms. In such event, any commissions received by such underwriters, broker-dealers or agents and any profit on the resale of the shares of common stock purchased by them may be deemed to be underwriting commissions or discounts under the Securities Act. Underwriters may resell the shares to or through dealers, and those dealers may receive compensation in the form of one or more discounts, concessions or commissions from the underwriters and commissions from purchasers for which they may act as agents. The selling stockholders have informed us that they do not have any written or oral agreement or understanding, directly or indirectly, with any person to distribute the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Registration Rights Agreement, we will pay all expenses relating to the registration and offering of these shares, except that the selling stockholders will pay underwriting discounts, selling commissions and stock transfer taxes and (subject to certain exceptions) fees and disbursements of counsel for any selling stockholders. Pursuant to the terms of the Registration Rights Agreement, we agreed to indemnify the selling stockholders against certain liabilities, including liabilities under the Securities Act, and the selling stockholders have agreed to indemnify us against certain liabilities, including liabilities under the Securities Act, which may arise from any written information furnished to us by the selling stockholders expressly for use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applicable rules and regulations under the Exchange Act, any person engaged in the distribution of the resale shares of common stock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assurances that the selling stockholders will sell, and the selling stockholders are not required to sell, any or all of the securities offered under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this prospectus may be amended and/or supplemented from time to time to describe a specific plan of distribution. If required, we may add transferees, successors and donees by prospectus supplement in instances where the transferee, successor or donee has acquired its shares from holders named in this prospectus after the effective date of this prospectus. Transferees, successors and donees of the selling stockholders may not be able to use this prospectus for resales until they are named in the selling stockholders table by prospectus supplement or post-effective amendment. See “Selling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32791_10"/>
      <w:bookmarkEnd w:id="26"/>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being offered by this prospectus will be passed upon for us by Akin Gump Strauss Hauer &amp; Feld LLP, Houston, Texas, our outside legal counsel. Additional legal matters may be passed on for us, or any underwriters, dealers or agents, by counsel we will name in the applicable prospectus supplement. </w:t>
      </w:r>
    </w:p>
    <w:p>
      <w:pPr>
        <w:pStyle w:val="TextBody"/>
        <w:bidi w:val="0"/>
        <w:spacing w:before="480" w:after="0"/>
        <w:jc w:val="center"/>
        <w:rPr>
          <w:rFonts w:ascii="Times New Roman" w:hAnsi="Times New Roman"/>
          <w:b/>
          <w:sz w:val="20"/>
        </w:rPr>
      </w:pPr>
      <w:bookmarkStart w:id="27" w:name="tx32791_11"/>
      <w:bookmarkEnd w:id="27"/>
      <w:r>
        <w:rPr>
          <w:rFonts w:ascii="Times New Roman" w:hAnsi="Times New Roman"/>
          <w:b/>
          <w:sz w:val="20"/>
        </w:rPr>
        <w:t xml:space="preserve">EXPERTS </w:t>
      </w:r>
    </w:p>
    <w:p>
      <w:pPr>
        <w:pStyle w:val="TextBody"/>
        <w:bidi w:val="0"/>
        <w:spacing w:before="240" w:after="0"/>
        <w:jc w:val="left"/>
        <w:rPr>
          <w:rFonts w:ascii="Times New Roman" w:hAnsi="Times New Roman"/>
          <w:b/>
          <w:i/>
          <w:sz w:val="20"/>
        </w:rPr>
      </w:pPr>
      <w:r>
        <w:rPr>
          <w:rFonts w:ascii="Times New Roman" w:hAnsi="Times New Roman"/>
          <w:b/>
          <w:i/>
          <w:sz w:val="20"/>
        </w:rPr>
        <w:t xml:space="preserve">Dril-Quip, Inc. </w:t>
      </w:r>
    </w:p>
    <w:p>
      <w:pPr>
        <w:pStyle w:val="TextBody"/>
        <w:bidi w:val="0"/>
        <w:spacing w:before="120" w:after="0"/>
        <w:jc w:val="left"/>
        <w:rPr>
          <w:rFonts w:ascii="Times New Roman" w:hAnsi="Times New Roman"/>
          <w:sz w:val="20"/>
        </w:rPr>
      </w:pPr>
      <w:r>
        <w:rPr>
          <w:rFonts w:ascii="Times New Roman" w:hAnsi="Times New Roman"/>
          <w:sz w:val="20"/>
        </w:rPr>
        <w:t xml:space="preserve">The financial statements and management’s assessment of the effectiveness of internal control over financial reporting (which is included in Management’s Annual Report on Internal Control over Financial Reporting) incorporated in this prospectus by reference to Dril-Quip’s Annual Report on Form 10-K/A for the year ended December 31, 2023 have been so incorporated in reliance on the report (which contains an explanatory paragraph relating to Dril-Quip’s restatement of its financial statements as described in Note 21 to the financial statements, an adverse opinion on the effectiveness of Dril-Quip’s internal control over financial reporting and an explanatory paragraph related to the exclusion of Great North from Management’s assessment of internal control over financial reporting as of December 31, 2023, because it was acquired by Dril-Quip in a purchase business combination during 2023) of PricewaterhouseCoopers LLP, an independent registered public accounting firm, given on the authority of said firm as experts in auditing and accounting.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Innovex Downhole Solutions, Inc. </w:t>
      </w:r>
    </w:p>
    <w:p>
      <w:pPr>
        <w:pStyle w:val="TextBody"/>
        <w:bidi w:val="0"/>
        <w:spacing w:before="120" w:after="0"/>
        <w:jc w:val="left"/>
        <w:rPr>
          <w:rFonts w:ascii="Times New Roman" w:hAnsi="Times New Roman"/>
          <w:sz w:val="20"/>
        </w:rPr>
      </w:pPr>
      <w:r>
        <w:rPr>
          <w:rFonts w:ascii="Times New Roman" w:hAnsi="Times New Roman"/>
          <w:sz w:val="20"/>
        </w:rPr>
        <w:t xml:space="preserve">The audited financial statements of Innovex Downhole Solutions, Inc. incorporated by reference in this prospectus and elsewhere in this registration statement have been so incorporated by reference in reliance upon the report of Grant Thornton LLP, independent registered public accountants, upon the authority of said firm as experts in accounting and auditing.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32"/>
        </w:rPr>
      </w:pPr>
      <w:r>
        <w:rPr>
          <w:rFonts w:ascii="Times New Roman" w:hAnsi="Times New Roman"/>
          <w:b/>
          <w:sz w:val="32"/>
        </w:rPr>
        <w:t xml:space="preserve">5,000,000 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2995295" cy="67691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2"/>
                    <a:stretch>
                      <a:fillRect/>
                    </a:stretch>
                  </pic:blipFill>
                  <pic:spPr bwMode="auto">
                    <a:xfrm>
                      <a:off x="0" y="0"/>
                      <a:ext cx="2995295" cy="67691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Innovex International, Inc. </w:t>
      </w:r>
    </w:p>
    <w:p>
      <w:pPr>
        <w:pStyle w:val="TextBody"/>
        <w:bidi w:val="0"/>
        <w:spacing w:before="72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0" w:after="0"/>
        <w:jc w:val="center"/>
        <w:rPr>
          <w:rFonts w:ascii="Times New Roman" w:hAnsi="Times New Roman"/>
          <w:b/>
          <w:sz w:val="28"/>
        </w:rPr>
      </w:pPr>
      <w:r>
        <w:rPr>
          <w:rFonts w:ascii="Times New Roman" w:hAnsi="Times New Roman"/>
          <w:b/>
          <w:sz w:val="28"/>
        </w:rPr>
        <w:t xml:space="preserve">Barclays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300" w:after="0"/>
        <w:jc w:val="center"/>
        <w:rPr/>
      </w:pPr>
      <w:r>
        <w:rPr/>
        <w:t>   </w:t>
      </w:r>
      <w:r>
        <w:rPr>
          <w:rFonts w:ascii="Times New Roman" w:hAnsi="Times New Roman"/>
          <w:b/>
          <w:sz w:val="20"/>
        </w:rPr>
        <w:t xml:space="preserve">,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042893/000119312526067228/invx-20251231.htm" TargetMode="External"/><Relationship Id="rId4" Type="http://schemas.openxmlformats.org/officeDocument/2006/relationships/hyperlink" Target="http://www.sec.gov/Archives/edgar/data/../../../ix?doc=/Archives/edgar/data/1042893/000119312526129169/invx-20260327.htm" TargetMode="External"/><Relationship Id="rId5" Type="http://schemas.openxmlformats.org/officeDocument/2006/relationships/hyperlink" Target="http://www.sec.gov/Archives/edgar/data/../../../ix?doc=/Archives/edgar/data/1042893/000119312526206528/invx-20260331.htm" TargetMode="External"/><Relationship Id="rId6" Type="http://schemas.openxmlformats.org/officeDocument/2006/relationships/hyperlink" Target="http://www.sec.gov/Archives/edgar/data/../../../ix?doc=/Archives/edgar/data/1042893/000119312526332959/invx-20260630.htm" TargetMode="External"/><Relationship Id="rId7" Type="http://schemas.openxmlformats.org/officeDocument/2006/relationships/hyperlink" Target="http://www.sec.gov/Archives/edgar/data/../../../ix?doc=/Archives/edgar/data/1042893/000119312526082802/invx-20260225.htm" TargetMode="External"/><Relationship Id="rId8" Type="http://schemas.openxmlformats.org/officeDocument/2006/relationships/hyperlink" Target="http://www.sec.gov/Archives/edgar/data/../../../ix?doc=/Archives/edgar/data/1042893/000119312526102394/invx-20260305.htm" TargetMode="External"/><Relationship Id="rId9" Type="http://schemas.openxmlformats.org/officeDocument/2006/relationships/hyperlink" Target="http://www.sec.gov/Archives/edgar/data/../../../ix?doc=/Archives/edgar/data/1042893/000119312526216895/invx-20260507.htm" TargetMode="External"/><Relationship Id="rId10" Type="http://schemas.openxmlformats.org/officeDocument/2006/relationships/hyperlink" Target="http://www.sec.gov/Archives/edgar/data/../../../ix?doc=/Archives/edgar/data/0001042893/000119312526270295/invx-20260615.htm" TargetMode="External"/><Relationship Id="rId11" Type="http://schemas.openxmlformats.org/officeDocument/2006/relationships/hyperlink" Target="http://www.sec.gov/Archives/edgar/data/../../../ix?doc=/Archives/edgar/data/1042893/000119312526292774/invx-20260615.htm" TargetMode="External"/><Relationship Id="rId12" Type="http://schemas.openxmlformats.org/officeDocument/2006/relationships/hyperlink" Target="http://www.sec.gov/Archives/edgar/data/1042893/000095017025031003/invx-ex4_2.htm" TargetMode="External"/><Relationship Id="rId13" Type="http://schemas.openxmlformats.org/officeDocument/2006/relationships/hyperlink" Target="http://www.sec.gov/Archives/edgar/data/1042893/0000899243-97-001988.txt" TargetMode="External"/><Relationship Id="rId14" Type="http://schemas.openxmlformats.org/officeDocument/2006/relationships/image" Target="media/image2.jpeg"/><Relationship Id="rId15" Type="http://schemas.openxmlformats.org/officeDocument/2006/relationships/hyperlink" Target="http://www.sec.gov/Archives/edgar/data/../../../ix?doc=/Archives/edgar/data/1042893/000095017024020662/drq-20231231.htm" TargetMode="External"/><Relationship Id="rId16" Type="http://schemas.openxmlformats.org/officeDocument/2006/relationships/hyperlink" Target="http://www.sec.gov/Archives/edgar/data/../../../ix?doc=/Archives/edgar/data/1042893/000095017024082104/drq-20231231.htm" TargetMode="External"/><Relationship Id="rId17" Type="http://schemas.openxmlformats.org/officeDocument/2006/relationships/hyperlink" Target="http://www.sec.gov/Archives/edgar/data/../../../ix?doc=/Archives/edgar/data/1042893/000095017024089302/drq-20231231.htm" TargetMode="External"/><Relationship Id="rId18" Type="http://schemas.openxmlformats.org/officeDocument/2006/relationships/hyperlink" Target="http://www.sec.gov/Archives/edgar/data/../../../ix?doc=/Archives/edgar/data/1042893/000095017024052065/drq-20240331.htm" TargetMode="External"/><Relationship Id="rId19" Type="http://schemas.openxmlformats.org/officeDocument/2006/relationships/hyperlink" Target="http://www.sec.gov/Archives/edgar/data/../../../ix?doc=/Archives/edgar/data/1042893/000095017024082111/drq-20240331.htm" TargetMode="External"/><Relationship Id="rId20" Type="http://schemas.openxmlformats.org/officeDocument/2006/relationships/hyperlink" Target="http://www.sec.gov/Archives/edgar/data/../../../ix?doc=/Archives/edgar/data/1042893/000095017024092740/drq-20240630.htm" TargetMode="External"/><Relationship Id="rId21" Type="http://schemas.openxmlformats.org/officeDocument/2006/relationships/hyperlink" Target="http://www.sec.gov/Archives/edgar/data/../../../ix?doc=/Archives/edgar/data/1042893/000119312524070265/d803484d8k.htm" TargetMode="External"/><Relationship Id="rId22" Type="http://schemas.openxmlformats.org/officeDocument/2006/relationships/hyperlink" Target="http://www.sec.gov/Archives/edgar/data/../../../ix?doc=/Archives/edgar/data/1042893/000119312524133417/d778199d8k.htm" TargetMode="External"/><Relationship Id="rId23" Type="http://schemas.openxmlformats.org/officeDocument/2006/relationships/hyperlink" Target="http://www.sec.gov/Archives/edgar/data/../../../ix?doc=/Archives/edgar/data/1042893/000119312524133801/d834826d8k.htm" TargetMode="External"/><Relationship Id="rId24" Type="http://schemas.openxmlformats.org/officeDocument/2006/relationships/hyperlink" Target="http://www.sec.gov/Archives/edgar/data/../../../ix?doc=/Archives/edgar/data/1042893/000119312524138410/d838309d8k.htm" TargetMode="External"/><Relationship Id="rId25" Type="http://schemas.openxmlformats.org/officeDocument/2006/relationships/hyperlink" Target="http://www.sec.gov/Archives/edgar/data/../../../ix?doc=/Archives/edgar/data/1042893/000119312524142937/d768740d8k.htm" TargetMode="External"/><Relationship Id="rId26" Type="http://schemas.openxmlformats.org/officeDocument/2006/relationships/hyperlink" Target="http://www.sec.gov/Archives/edgar/data/../../../ix?doc=/Archives/edgar/data/1042893/000095017024082091/drq-20240708.htm" TargetMode="External"/><Relationship Id="rId27" Type="http://schemas.openxmlformats.org/officeDocument/2006/relationships/hyperlink" Target="http://www.sec.gov/Archives/edgar/data/../../../ix?doc=/Archives/edgar/data/1042893/000119312524176793/d824482d8k.htm" TargetMode="External"/><Relationship Id="rId28" Type="http://schemas.openxmlformats.org/officeDocument/2006/relationships/hyperlink" Target="http://www.sec.gov/Archives/edgar/data/../../../ix?doc=/Archives/edgar/data/1042893/000095017024089244/drq-20240801.htm" TargetMode="External"/><Relationship Id="rId29" Type="http://schemas.openxmlformats.org/officeDocument/2006/relationships/hyperlink" Target="http://www.sec.gov/Archives/edgar/data/../../../ix?doc=/Archives/edgar/data/1042893/000095017024089318/drq-20240801.htm" TargetMode="External"/><Relationship Id="rId30" Type="http://schemas.openxmlformats.org/officeDocument/2006/relationships/hyperlink" Target="http://www.sec.gov/Archives/edgar/data/../../../ix?doc=/Archives/edgar/data/1042893/000119312524198364/d798252d8k.htm" TargetMode="External"/><Relationship Id="rId31" Type="http://schemas.openxmlformats.org/officeDocument/2006/relationships/hyperlink" Target="http://www.sec.gov/Archives/edgar/data/../../../ix?doc=/Archives/edgar/data/1042893/000119312524202533/d837697d8k.htm" TargetMode="External"/><Relationship Id="rId32" Type="http://schemas.openxmlformats.org/officeDocument/2006/relationships/hyperlink" Target="http://www.sec.gov/Archives/edgar/data/../../../ix?doc=/Archives/edgar/data/1042893/000119312524206725/d640932d8k.htm" TargetMode="External"/><Relationship Id="rId33" Type="http://schemas.openxmlformats.org/officeDocument/2006/relationships/hyperlink" Target="http://www.sec.gov/Archives/edgar/data/../../../ix?doc=/Archives/edgar/data/1042893/000119312524214232/d802930d8k.htm" TargetMode="External"/><Relationship Id="rId34" Type="http://schemas.openxmlformats.org/officeDocument/2006/relationships/hyperlink" Target="http://www.sec.gov/Archives/edgar/data/../../../ix?doc=/Archives/edgar/data/1042893/000119312524215264/d802924d8k.htm" TargetMode="External"/><Relationship Id="rId35" Type="http://schemas.openxmlformats.org/officeDocument/2006/relationships/hyperlink" Target="http://www.sec.gov/Archives/edgar/data/../../../ix?doc=/Archives/edgar/data/1042893/000119312524218005/d877249d8k.htm" TargetMode="External"/><Relationship Id="rId36" Type="http://schemas.openxmlformats.org/officeDocument/2006/relationships/hyperlink" Target="http://www.sec.gov/Archives/edgar/data/../../../ix?doc=/Archives/edgar/data/1042893/000119312524219679/d889425d8ka.htm" TargetMode="External"/><Relationship Id="rId37" Type="http://schemas.openxmlformats.org/officeDocument/2006/relationships/hyperlink" Target="http://www.sec.gov/Archives/edgar/data/1042893/000119312524127628/d773596ds4.htm" TargetMode="External"/><Relationship Id="rId38" Type="http://schemas.openxmlformats.org/officeDocument/2006/relationships/hyperlink" Target="http://www.sec.gov/Archives/edgar/data/1042893/000119312524161734/d773596ds4a.htm" TargetMode="External"/><Relationship Id="rId39" Type="http://schemas.openxmlformats.org/officeDocument/2006/relationships/hyperlink" Target="http://www.sec.gov/Archives/edgar/data/1042893/000119312524193373/d773596ds4a.htm" TargetMode="External"/><Relationship Id="rId40" Type="http://schemas.openxmlformats.org/officeDocument/2006/relationships/hyperlink" Target="http://www.sec.gov/Archives/edgar/data/1042893/000156459020007447/drq-ex42_431.htm" TargetMode="External"/><Relationship Id="rId41" Type="http://schemas.openxmlformats.org/officeDocument/2006/relationships/hyperlink" Target="http://www.sec.gov/Archives/edgar/data/1042893/0000899243-97-001988.txt" TargetMode="External"/><Relationship Id="rId42" Type="http://schemas.openxmlformats.org/officeDocument/2006/relationships/image" Target="media/image1.jpeg"/><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65</Pages>
  <Words>26953</Words>
  <Characters>143243</Characters>
  <CharactersWithSpaces>170773</CharactersWithSpaces>
  <Paragraphs>1734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424B7</dc:title>
</cp:coreProperties>
</file>