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20" w:hanging="3639"/>
        <w:spacing w:after="0" w:line="351"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For the transition period from __________________ to 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001-13439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INNOVEX INTERNATIONAL,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tbl>
      <w:tblPr>
        <w:tblLayout w:type="fixed"/>
        <w:tblInd w:w="2420" w:type="dxa"/>
        <w:tblCellMar>
          <w:top w:w="0" w:type="dxa"/>
          <w:left w:w="0" w:type="dxa"/>
          <w:bottom w:w="0" w:type="dxa"/>
          <w:right w:w="0" w:type="dxa"/>
        </w:tblCellMar>
      </w:tblPr>
      <w:tr>
        <w:trPr>
          <w:trHeight w:val="229"/>
        </w:trPr>
        <w:tc>
          <w:tcPr>
            <w:tcW w:w="31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74-2162088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p>
      <w:pPr>
        <w:ind w:left="2020"/>
        <w:spacing w:after="0" w:line="234" w:lineRule="auto"/>
        <w:rPr>
          <w:sz w:val="20"/>
          <w:szCs w:val="20"/>
          <w:color w:val="auto"/>
        </w:rPr>
      </w:pPr>
      <w:r>
        <w:rPr>
          <w:rFonts w:ascii="Arial" w:cs="Arial" w:eastAsia="Arial" w:hAnsi="Arial"/>
          <w:sz w:val="12"/>
          <w:szCs w:val="12"/>
          <w:color w:val="auto"/>
        </w:rPr>
        <w:t>(State or other jurisdiction of</w:t>
      </w:r>
    </w:p>
    <w:p>
      <w:pPr>
        <w:ind w:left="2000"/>
        <w:spacing w:after="0"/>
        <w:rPr>
          <w:sz w:val="20"/>
          <w:szCs w:val="20"/>
          <w:color w:val="auto"/>
        </w:rPr>
      </w:pPr>
      <w:r>
        <w:rPr>
          <w:rFonts w:ascii="Arial" w:cs="Arial" w:eastAsia="Arial" w:hAnsi="Arial"/>
          <w:sz w:val="12"/>
          <w:szCs w:val="12"/>
          <w:color w:val="auto"/>
        </w:rPr>
        <w:t>incorporation or organization)</w:t>
      </w:r>
    </w:p>
    <w:p>
      <w:pPr>
        <w:spacing w:after="0" w:line="16" w:lineRule="exact"/>
        <w:rPr>
          <w:sz w:val="24"/>
          <w:szCs w:val="24"/>
          <w:color w:val="auto"/>
        </w:rPr>
      </w:pPr>
    </w:p>
    <w:p>
      <w:pPr>
        <w:jc w:val="center"/>
        <w:ind w:right="1620"/>
        <w:spacing w:after="0"/>
        <w:rPr>
          <w:sz w:val="20"/>
          <w:szCs w:val="20"/>
          <w:color w:val="auto"/>
        </w:rPr>
      </w:pPr>
      <w:r>
        <w:rPr>
          <w:rFonts w:ascii="Arial" w:cs="Arial" w:eastAsia="Arial" w:hAnsi="Arial"/>
          <w:sz w:val="17"/>
          <w:szCs w:val="17"/>
          <w:b w:val="1"/>
          <w:bCs w:val="1"/>
          <w:color w:val="auto"/>
        </w:rPr>
        <w:t>19120 Kenswick Dr.</w:t>
      </w:r>
    </w:p>
    <w:p>
      <w:pPr>
        <w:spacing w:after="0" w:line="21"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Humble, Texas</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2"/>
          <w:szCs w:val="12"/>
          <w:color w:val="auto"/>
        </w:rPr>
        <w:t>Identification No.)</w:t>
      </w:r>
    </w:p>
    <w:p>
      <w:pPr>
        <w:spacing w:after="0" w:line="214"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77338</w:t>
      </w:r>
    </w:p>
    <w:p>
      <w:pPr>
        <w:spacing w:after="0" w:line="8" w:lineRule="exact"/>
        <w:rPr>
          <w:sz w:val="24"/>
          <w:szCs w:val="24"/>
          <w:color w:val="auto"/>
        </w:rPr>
      </w:pPr>
    </w:p>
    <w:p>
      <w:pPr>
        <w:sectPr>
          <w:pgSz w:w="11900" w:h="16838" w:orient="portrait"/>
          <w:cols w:equalWidth="0" w:num="2">
            <w:col w:w="7220" w:space="720"/>
            <w:col w:w="3300"/>
          </w:cols>
          <w:pgMar w:left="320" w:top="1068" w:right="339" w:bottom="1440" w:gutter="0" w:footer="0" w:header="0"/>
          <w:type w:val="continuous"/>
        </w:sectPr>
      </w:pPr>
    </w:p>
    <w:p>
      <w:pPr>
        <w:ind w:left="1740"/>
        <w:spacing w:after="0"/>
        <w:tabs>
          <w:tab w:leader="none" w:pos="8100" w:val="left"/>
        </w:tabs>
        <w:rPr>
          <w:sz w:val="20"/>
          <w:szCs w:val="20"/>
          <w:color w:val="auto"/>
        </w:rPr>
      </w:pPr>
      <w:r>
        <w:rPr>
          <w:rFonts w:ascii="Arial" w:cs="Arial" w:eastAsia="Arial" w:hAnsi="Arial"/>
          <w:sz w:val="13"/>
          <w:szCs w:val="13"/>
          <w:color w:val="auto"/>
        </w:rPr>
        <w:t>(Address of principal executive offices)</w:t>
      </w:r>
      <w:r>
        <w:rPr>
          <w:sz w:val="20"/>
          <w:szCs w:val="20"/>
          <w:color w:val="auto"/>
        </w:rPr>
        <w:tab/>
      </w:r>
      <w:r>
        <w:rPr>
          <w:rFonts w:ascii="Arial" w:cs="Arial" w:eastAsia="Arial" w:hAnsi="Arial"/>
          <w:sz w:val="12"/>
          <w:szCs w:val="12"/>
          <w:color w:val="auto"/>
        </w:rPr>
        <w:t>(Zip Code)</w:t>
      </w:r>
    </w:p>
    <w:p>
      <w:pPr>
        <w:spacing w:after="0" w:line="37" w:lineRule="exact"/>
        <w:rPr>
          <w:sz w:val="24"/>
          <w:szCs w:val="24"/>
          <w:color w:val="auto"/>
        </w:rPr>
      </w:pPr>
    </w:p>
    <w:p>
      <w:pPr>
        <w:ind w:left="3040"/>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(346) 398-0000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2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203"/>
        </w:trPr>
        <w:tc>
          <w:tcPr>
            <w:tcW w:w="4280" w:type="dxa"/>
            <w:vAlign w:val="bottom"/>
            <w:tcBorders>
              <w:bottom w:val="single" w:sz="8" w:color="auto"/>
            </w:tcBorders>
          </w:tcPr>
          <w:p>
            <w:pPr>
              <w:ind w:left="1460"/>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7"/>
                <w:szCs w:val="17"/>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4"/>
        </w:trPr>
        <w:tc>
          <w:tcPr>
            <w:tcW w:w="4280" w:type="dxa"/>
            <w:vAlign w:val="bottom"/>
          </w:tcPr>
          <w:p>
            <w:pPr>
              <w:spacing w:after="0"/>
              <w:rPr>
                <w:sz w:val="20"/>
                <w:szCs w:val="20"/>
                <w:color w:val="auto"/>
              </w:rPr>
            </w:pPr>
            <w:r>
              <w:rPr>
                <w:rFonts w:ascii="Arial" w:cs="Arial" w:eastAsia="Arial" w:hAnsi="Arial"/>
                <w:sz w:val="15"/>
                <w:szCs w:val="15"/>
                <w:color w:val="auto"/>
              </w:rPr>
              <w:t>Common stock, par value $0.01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rPr>
              <w:t>INVX</w:t>
            </w: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5"/>
                <w:szCs w:val="15"/>
                <w:color w:val="auto"/>
              </w:rPr>
              <w:t>New York Stock Exchange</w:t>
            </w:r>
          </w:p>
        </w:tc>
      </w:tr>
    </w:tbl>
    <w:p>
      <w:pPr>
        <w:spacing w:after="0" w:line="7" w:lineRule="exact"/>
        <w:rPr>
          <w:sz w:val="24"/>
          <w:szCs w:val="24"/>
          <w:color w:val="auto"/>
        </w:rPr>
      </w:pPr>
    </w:p>
    <w:p>
      <w:pPr>
        <w:jc w:val="both"/>
        <w:ind w:right="300"/>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80"/>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jc w:val="both"/>
        <w:ind w:right="100"/>
        <w:spacing w:after="0" w:line="24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3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0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3800" w:type="dxa"/>
            <w:vAlign w:val="bottom"/>
          </w:tcPr>
          <w:p>
            <w:pPr>
              <w:ind w:left="148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3"/>
        </w:trPr>
        <w:tc>
          <w:tcPr>
            <w:tcW w:w="2380" w:type="dxa"/>
            <w:vAlign w:val="bottom"/>
          </w:tcPr>
          <w:p>
            <w:pPr>
              <w:spacing w:after="0"/>
              <w:rPr>
                <w:sz w:val="20"/>
                <w:szCs w:val="20"/>
                <w:color w:val="auto"/>
              </w:rPr>
            </w:pPr>
            <w:r>
              <w:rPr>
                <w:rFonts w:ascii="Arial" w:cs="Arial" w:eastAsia="Arial" w:hAnsi="Arial"/>
                <w:sz w:val="17"/>
                <w:szCs w:val="17"/>
                <w:color w:val="auto"/>
              </w:rPr>
              <w:t>Non-accelerated filer</w:t>
            </w:r>
          </w:p>
        </w:tc>
        <w:tc>
          <w:tcPr>
            <w:tcW w:w="20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3800" w:type="dxa"/>
            <w:vAlign w:val="bottom"/>
          </w:tcPr>
          <w:p>
            <w:pPr>
              <w:ind w:left="148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3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20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96" w:lineRule="exact"/>
        <w:rPr>
          <w:sz w:val="24"/>
          <w:szCs w:val="24"/>
          <w:color w:val="auto"/>
        </w:rPr>
      </w:pPr>
    </w:p>
    <w:p>
      <w:pPr>
        <w:ind w:right="8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540"/>
        <w:spacing w:after="0" w:line="23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29, 2026, the registrant had 68,759,676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460" w:type="dxa"/>
            <w:vAlign w:val="bottom"/>
            <w:gridSpan w:val="24"/>
            <w:vMerge w:val="restart"/>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7"/>
        </w:trPr>
        <w:tc>
          <w:tcPr>
            <w:tcW w:w="10460" w:type="dxa"/>
            <w:vAlign w:val="bottom"/>
            <w:gridSpan w:val="24"/>
            <w:vMerge w:val="continue"/>
          </w:tcPr>
          <w:p>
            <w:pPr>
              <w:spacing w:after="0"/>
              <w:rPr>
                <w:sz w:val="15"/>
                <w:szCs w:val="15"/>
                <w:color w:val="auto"/>
              </w:rPr>
            </w:pPr>
          </w:p>
        </w:tc>
        <w:tc>
          <w:tcPr>
            <w:tcW w:w="780" w:type="dxa"/>
            <w:vAlign w:val="bottom"/>
          </w:tcPr>
          <w:p>
            <w:pPr>
              <w:spacing w:after="0" w:line="177"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03"/>
        </w:trPr>
        <w:tc>
          <w:tcPr>
            <w:tcW w:w="1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PART I</w:t>
            </w:r>
          </w:p>
        </w:tc>
        <w:tc>
          <w:tcPr>
            <w:tcW w:w="9220" w:type="dxa"/>
            <w:vAlign w:val="bottom"/>
            <w:gridSpan w:val="22"/>
          </w:tcPr>
          <w:p>
            <w:pPr>
              <w:ind w:left="20"/>
              <w:spacing w:after="0" w:line="202" w:lineRule="exact"/>
              <w:rPr>
                <w:sz w:val="20"/>
                <w:szCs w:val="20"/>
                <w:color w:val="auto"/>
              </w:rPr>
            </w:pPr>
            <w:r>
              <w:rPr>
                <w:rFonts w:ascii="Arial" w:cs="Arial" w:eastAsia="Arial" w:hAnsi="Arial"/>
                <w:sz w:val="18"/>
                <w:szCs w:val="18"/>
                <w:b w:val="1"/>
                <w:bCs w:val="1"/>
                <w:color w:val="auto"/>
              </w:rPr>
              <w:t>FINANCIAL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Item 1.</w:t>
            </w:r>
          </w:p>
        </w:tc>
        <w:tc>
          <w:tcPr>
            <w:tcW w:w="9220" w:type="dxa"/>
            <w:vAlign w:val="bottom"/>
            <w:gridSpan w:val="22"/>
          </w:tcPr>
          <w:p>
            <w:pPr>
              <w:ind w:left="20"/>
              <w:spacing w:after="0" w:line="195" w:lineRule="exact"/>
              <w:rPr>
                <w:sz w:val="20"/>
                <w:szCs w:val="20"/>
                <w:color w:val="auto"/>
              </w:rPr>
            </w:pPr>
            <w:r>
              <w:rPr>
                <w:rFonts w:ascii="Arial" w:cs="Arial" w:eastAsia="Arial" w:hAnsi="Arial"/>
                <w:sz w:val="18"/>
                <w:szCs w:val="18"/>
                <w:color w:val="0000FF"/>
              </w:rPr>
              <w:t xml:space="preserve">Condensed Consolidated Financial Statements </w:t>
            </w:r>
            <w:r>
              <w:rPr>
                <w:rFonts w:ascii="Arial" w:cs="Arial" w:eastAsia="Arial" w:hAnsi="Arial"/>
                <w:sz w:val="18"/>
                <w:szCs w:val="18"/>
                <w:color w:val="000000"/>
              </w:rPr>
              <w:t>(unaudited)</w:t>
            </w:r>
          </w:p>
        </w:tc>
        <w:tc>
          <w:tcPr>
            <w:tcW w:w="78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vMerge w:val="restart"/>
          </w:tcPr>
          <w:p>
            <w:pPr>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4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5"/>
                <w:szCs w:val="15"/>
                <w:color w:val="auto"/>
              </w:rPr>
            </w:pPr>
          </w:p>
        </w:tc>
        <w:tc>
          <w:tcPr>
            <w:tcW w:w="5240" w:type="dxa"/>
            <w:vAlign w:val="bottom"/>
            <w:gridSpan w:val="10"/>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60" w:type="dxa"/>
            <w:vAlign w:val="bottom"/>
            <w:gridSpan w:val="11"/>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240" w:type="dxa"/>
            <w:vAlign w:val="bottom"/>
            <w:gridSpan w:val="10"/>
          </w:tcPr>
          <w:p>
            <w:pPr>
              <w:spacing w:after="0" w:line="182" w:lineRule="exact"/>
              <w:rPr>
                <w:sz w:val="20"/>
                <w:szCs w:val="20"/>
                <w:color w:val="auto"/>
              </w:rPr>
            </w:pPr>
            <w:r>
              <w:rPr>
                <w:rFonts w:ascii="Arial" w:cs="Arial" w:eastAsia="Arial" w:hAnsi="Arial"/>
                <w:sz w:val="18"/>
                <w:szCs w:val="18"/>
                <w:color w:val="0000FF"/>
              </w:rPr>
              <w:t>Operations and Comprehensive Income</w:t>
            </w: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6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FF"/>
              </w:rPr>
              <w:t>Condensed Consolidated Statements of Changes in Stockholders’ Equity</w:t>
            </w: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1620" w:type="dxa"/>
            <w:vAlign w:val="bottom"/>
            <w:tcBorders>
              <w:top w:val="single" w:sz="8" w:color="0000FF"/>
            </w:tcBorders>
            <w:gridSpan w:val="4"/>
          </w:tcPr>
          <w:p>
            <w:pPr>
              <w:spacing w:after="0"/>
              <w:rPr>
                <w:sz w:val="15"/>
                <w:szCs w:val="15"/>
                <w:color w:val="auto"/>
              </w:rPr>
            </w:pPr>
          </w:p>
        </w:tc>
        <w:tc>
          <w:tcPr>
            <w:tcW w:w="660" w:type="dxa"/>
            <w:vAlign w:val="bottom"/>
            <w:gridSpan w:val="2"/>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80" w:type="dxa"/>
            <w:vAlign w:val="bottom"/>
            <w:tcBorders>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99"/>
              </w:rPr>
              <w:t>Notes to Condensed Consolidated Financial Statements</w:t>
            </w:r>
          </w:p>
        </w:tc>
        <w:tc>
          <w:tcPr>
            <w:tcW w:w="20" w:type="dxa"/>
            <w:vAlign w:val="bottom"/>
            <w:tcBorders>
              <w:bottom w:val="single" w:sz="8" w:color="0000EE"/>
            </w:tcBorders>
          </w:tcPr>
          <w:p>
            <w:pPr>
              <w:spacing w:after="0"/>
              <w:rPr>
                <w:sz w:val="15"/>
                <w:szCs w:val="15"/>
                <w:color w:val="auto"/>
              </w:rPr>
            </w:pPr>
          </w:p>
        </w:tc>
        <w:tc>
          <w:tcPr>
            <w:tcW w:w="4100" w:type="dxa"/>
            <w:vAlign w:val="bottom"/>
            <w:gridSpan w:val="4"/>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2.</w:t>
            </w:r>
          </w:p>
        </w:tc>
        <w:tc>
          <w:tcPr>
            <w:tcW w:w="9220" w:type="dxa"/>
            <w:vAlign w:val="bottom"/>
            <w:gridSpan w:val="22"/>
          </w:tcPr>
          <w:p>
            <w:pPr>
              <w:ind w:left="20"/>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3.</w:t>
            </w:r>
          </w:p>
        </w:tc>
        <w:tc>
          <w:tcPr>
            <w:tcW w:w="7100" w:type="dxa"/>
            <w:vAlign w:val="bottom"/>
            <w:tcBorders>
              <w:top w:val="single" w:sz="8" w:color="0000FF"/>
            </w:tcBorders>
            <w:gridSpan w:val="21"/>
          </w:tcPr>
          <w:p>
            <w:pPr>
              <w:ind w:left="20"/>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12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4.</w:t>
            </w:r>
          </w:p>
        </w:tc>
        <w:tc>
          <w:tcPr>
            <w:tcW w:w="4720" w:type="dxa"/>
            <w:vAlign w:val="bottom"/>
            <w:tcBorders>
              <w:top w:val="single" w:sz="8" w:color="0000FF"/>
            </w:tcBorders>
            <w:gridSpan w:val="13"/>
          </w:tcPr>
          <w:p>
            <w:pPr>
              <w:ind w:left="20"/>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gridSpan w:val="3"/>
          </w:tcPr>
          <w:p>
            <w:pPr>
              <w:spacing w:after="0"/>
              <w:rPr>
                <w:sz w:val="15"/>
                <w:szCs w:val="15"/>
                <w:color w:val="auto"/>
              </w:rPr>
            </w:pPr>
          </w:p>
        </w:tc>
        <w:tc>
          <w:tcPr>
            <w:tcW w:w="4360" w:type="dxa"/>
            <w:vAlign w:val="bottom"/>
            <w:gridSpan w:val="6"/>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1"/>
        </w:trPr>
        <w:tc>
          <w:tcPr>
            <w:tcW w:w="12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ind w:left="20"/>
              <w:spacing w:after="0" w:line="191" w:lineRule="exact"/>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16"/>
                <w:szCs w:val="16"/>
                <w:color w:val="auto"/>
              </w:rPr>
            </w:pPr>
          </w:p>
        </w:tc>
        <w:tc>
          <w:tcPr>
            <w:tcW w:w="2300" w:type="dxa"/>
            <w:vAlign w:val="bottom"/>
            <w:gridSpan w:val="7"/>
          </w:tcPr>
          <w:p>
            <w:pPr>
              <w:spacing w:after="0"/>
              <w:rPr>
                <w:sz w:val="16"/>
                <w:szCs w:val="16"/>
                <w:color w:val="auto"/>
              </w:rPr>
            </w:pPr>
          </w:p>
        </w:tc>
        <w:tc>
          <w:tcPr>
            <w:tcW w:w="4360" w:type="dxa"/>
            <w:vAlign w:val="bottom"/>
            <w:gridSpan w:val="6"/>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Item 1.</w:t>
            </w:r>
          </w:p>
        </w:tc>
        <w:tc>
          <w:tcPr>
            <w:tcW w:w="9220" w:type="dxa"/>
            <w:vAlign w:val="bottom"/>
            <w:gridSpan w:val="22"/>
          </w:tcPr>
          <w:p>
            <w:pPr>
              <w:ind w:left="20"/>
              <w:spacing w:after="0" w:line="195" w:lineRule="exact"/>
              <w:rPr>
                <w:sz w:val="20"/>
                <w:szCs w:val="20"/>
                <w:color w:val="auto"/>
              </w:rPr>
            </w:pPr>
            <w:r>
              <w:rPr>
                <w:rFonts w:ascii="Arial" w:cs="Arial" w:eastAsia="Arial" w:hAnsi="Arial"/>
                <w:sz w:val="18"/>
                <w:szCs w:val="18"/>
                <w:color w:val="0000FF"/>
              </w:rPr>
              <w:t>Legal Proceedings</w:t>
            </w:r>
          </w:p>
        </w:tc>
        <w:tc>
          <w:tcPr>
            <w:tcW w:w="780" w:type="dxa"/>
            <w:vAlign w:val="bottom"/>
          </w:tcPr>
          <w:p>
            <w:pPr>
              <w:spacing w:after="0" w:line="195"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6"/>
          </w:tcPr>
          <w:p>
            <w:pPr>
              <w:ind w:left="20"/>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tcPr>
          <w:p>
            <w:pPr>
              <w:spacing w:after="0"/>
              <w:rPr>
                <w:sz w:val="15"/>
                <w:szCs w:val="15"/>
                <w:color w:val="auto"/>
              </w:rPr>
            </w:pPr>
          </w:p>
        </w:tc>
        <w:tc>
          <w:tcPr>
            <w:tcW w:w="620" w:type="dxa"/>
            <w:vAlign w:val="bottom"/>
            <w:gridSpan w:val="2"/>
          </w:tcPr>
          <w:p>
            <w:pPr>
              <w:spacing w:after="0"/>
              <w:rPr>
                <w:sz w:val="15"/>
                <w:szCs w:val="15"/>
                <w:color w:val="auto"/>
              </w:rPr>
            </w:pPr>
          </w:p>
        </w:tc>
        <w:tc>
          <w:tcPr>
            <w:tcW w:w="2300" w:type="dxa"/>
            <w:vAlign w:val="bottom"/>
            <w:gridSpan w:val="7"/>
          </w:tcPr>
          <w:p>
            <w:pPr>
              <w:spacing w:after="0"/>
              <w:rPr>
                <w:sz w:val="15"/>
                <w:szCs w:val="15"/>
                <w:color w:val="auto"/>
              </w:rPr>
            </w:pPr>
          </w:p>
        </w:tc>
        <w:tc>
          <w:tcPr>
            <w:tcW w:w="4360" w:type="dxa"/>
            <w:vAlign w:val="bottom"/>
            <w:gridSpan w:val="6"/>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3"/>
          </w:tcPr>
          <w:p>
            <w:pPr>
              <w:ind w:left="20"/>
              <w:spacing w:after="0" w:line="182" w:lineRule="exact"/>
              <w:rPr>
                <w:sz w:val="20"/>
                <w:szCs w:val="20"/>
                <w:color w:val="auto"/>
              </w:rPr>
            </w:pPr>
            <w:r>
              <w:rPr>
                <w:rFonts w:ascii="Arial" w:cs="Arial" w:eastAsia="Arial" w:hAnsi="Arial"/>
                <w:sz w:val="18"/>
                <w:szCs w:val="18"/>
                <w:color w:val="0000FF"/>
                <w:w w:val="93"/>
              </w:rPr>
              <w:t>Unregistered</w:t>
            </w:r>
          </w:p>
        </w:tc>
        <w:tc>
          <w:tcPr>
            <w:tcW w:w="20" w:type="dxa"/>
            <w:vAlign w:val="bottom"/>
            <w:tcBorders>
              <w:top w:val="single" w:sz="8" w:color="0000EE"/>
            </w:tcBorders>
          </w:tcPr>
          <w:p>
            <w:pPr>
              <w:spacing w:after="0"/>
              <w:rPr>
                <w:sz w:val="15"/>
                <w:szCs w:val="15"/>
                <w:color w:val="auto"/>
              </w:rPr>
            </w:pPr>
          </w:p>
        </w:tc>
        <w:tc>
          <w:tcPr>
            <w:tcW w:w="8200" w:type="dxa"/>
            <w:vAlign w:val="bottom"/>
            <w:gridSpan w:val="18"/>
          </w:tcPr>
          <w:p>
            <w:pPr>
              <w:ind w:left="8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0000FF"/>
            </w:tcBorders>
            <w:gridSpan w:val="16"/>
          </w:tcPr>
          <w:p>
            <w:pPr>
              <w:ind w:left="20"/>
              <w:spacing w:after="0" w:line="182" w:lineRule="exact"/>
              <w:rPr>
                <w:sz w:val="20"/>
                <w:szCs w:val="20"/>
                <w:color w:val="auto"/>
              </w:rPr>
            </w:pPr>
            <w:r>
              <w:rPr>
                <w:rFonts w:ascii="Arial" w:cs="Arial" w:eastAsia="Arial" w:hAnsi="Arial"/>
                <w:sz w:val="18"/>
                <w:szCs w:val="18"/>
                <w:color w:val="0000FF"/>
              </w:rPr>
              <w:t>Defaults Upon Senior Securities</w:t>
            </w:r>
          </w:p>
        </w:tc>
        <w:tc>
          <w:tcPr>
            <w:tcW w:w="4360" w:type="dxa"/>
            <w:vAlign w:val="bottom"/>
            <w:gridSpan w:val="6"/>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0000FF"/>
            </w:tcBorders>
            <w:gridSpan w:val="9"/>
          </w:tcPr>
          <w:p>
            <w:pPr>
              <w:ind w:left="20"/>
              <w:spacing w:after="0" w:line="182" w:lineRule="exact"/>
              <w:rPr>
                <w:sz w:val="20"/>
                <w:szCs w:val="20"/>
                <w:color w:val="auto"/>
              </w:rPr>
            </w:pPr>
            <w:r>
              <w:rPr>
                <w:rFonts w:ascii="Arial" w:cs="Arial" w:eastAsia="Arial" w:hAnsi="Arial"/>
                <w:sz w:val="18"/>
                <w:szCs w:val="18"/>
                <w:color w:val="0000FF"/>
              </w:rPr>
              <w:t>Mine Safety Disclosures</w:t>
            </w:r>
          </w:p>
        </w:tc>
        <w:tc>
          <w:tcPr>
            <w:tcW w:w="6660" w:type="dxa"/>
            <w:vAlign w:val="bottom"/>
            <w:gridSpan w:val="13"/>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0000FF"/>
            </w:tcBorders>
            <w:gridSpan w:val="7"/>
          </w:tcPr>
          <w:p>
            <w:pPr>
              <w:ind w:left="20"/>
              <w:spacing w:after="0" w:line="182" w:lineRule="exact"/>
              <w:rPr>
                <w:sz w:val="20"/>
                <w:szCs w:val="20"/>
                <w:color w:val="auto"/>
              </w:rPr>
            </w:pPr>
            <w:r>
              <w:rPr>
                <w:rFonts w:ascii="Arial" w:cs="Arial" w:eastAsia="Arial" w:hAnsi="Arial"/>
                <w:sz w:val="18"/>
                <w:szCs w:val="18"/>
                <w:color w:val="0000FF"/>
              </w:rPr>
              <w:t>Other Information</w:t>
            </w:r>
          </w:p>
        </w:tc>
        <w:tc>
          <w:tcPr>
            <w:tcW w:w="7280" w:type="dxa"/>
            <w:vAlign w:val="bottom"/>
            <w:gridSpan w:val="15"/>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2"/>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ind w:left="20"/>
              <w:spacing w:after="0" w:line="182" w:lineRule="exact"/>
              <w:rPr>
                <w:sz w:val="20"/>
                <w:szCs w:val="20"/>
                <w:color w:val="auto"/>
              </w:rPr>
            </w:pPr>
            <w:r>
              <w:rPr>
                <w:rFonts w:ascii="Arial" w:cs="Arial" w:eastAsia="Arial" w:hAnsi="Arial"/>
                <w:sz w:val="18"/>
                <w:szCs w:val="18"/>
                <w:color w:val="0000FF"/>
              </w:rPr>
              <w:t>Exhibits</w:t>
            </w:r>
          </w:p>
        </w:tc>
        <w:tc>
          <w:tcPr>
            <w:tcW w:w="7820" w:type="dxa"/>
            <w:vAlign w:val="bottom"/>
            <w:gridSpan w:val="17"/>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This Quarterly Report on Form 10-Q (this “Quarterly Report”) includes certain statements that may be deemed to be “forward-looking statements” within the meaning of Section 27A of the Securities Act of 1933, as amended (the “Securities Act”), and Section 21E of the Securities Exchange Act of 1934, as amended (the “Exchange Act”). Statements contained in all parts of this Quarterly Report that are not historical facts are forward-looking statements that involve risks and uncertainties that are beyond the control of Innovex International, Inc. (the “Company”, “Innovex”, “we”, “our” or “us”). You can identify our forward-looking statements by the words “anticipate,” “estimate,” “expect,” “may,” “project,” “believe”, and similar expressions, or by our discussion of strategies or trends. Although we believe that the expectations reflected in such forward-looking statements are reasonable, no assurance can be given that these expectations will prove to be correct. These forward-looking statements include the following types of information and statements as they relate to the Company:</w:t>
      </w:r>
    </w:p>
    <w:p>
      <w:pPr>
        <w:spacing w:after="0" w:line="21" w:lineRule="exact"/>
        <w:rPr>
          <w:sz w:val="20"/>
          <w:szCs w:val="20"/>
          <w:color w:val="auto"/>
        </w:rPr>
      </w:pPr>
    </w:p>
    <w:p>
      <w:pPr>
        <w:ind w:left="760" w:hanging="378"/>
        <w:spacing w:after="0" w:line="281"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actions taken by the Organization of Petroleum Exporting Countries and the expanded alliance (OPEC+) with respect to their production levels and the effects thereof;</w:t>
      </w: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global market conditions, political disturbances, war or other global conflicts (including the Russia-Ukraine conflict, the Iran conflict, and other conflicts in the Middle East), terrorist attacks, changes in global trade policies, tariffs and sanctions, weak local economic conditions, and international currency fluctuations;</w:t>
      </w:r>
    </w:p>
    <w:p>
      <w:pPr>
        <w:spacing w:after="0" w:line="8" w:lineRule="exact"/>
        <w:rPr>
          <w:rFonts w:ascii="Times New Roman" w:cs="Times New Roman" w:eastAsia="Times New Roman" w:hAnsi="Times New Roman"/>
          <w:sz w:val="16"/>
          <w:szCs w:val="16"/>
          <w:color w:val="auto"/>
        </w:rPr>
      </w:pPr>
    </w:p>
    <w:p>
      <w:pPr>
        <w:ind w:left="760" w:right="20" w:hanging="378"/>
        <w:spacing w:after="0" w:line="281"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general economic conditions, including inflationary pressures and interest rates, a general economic slowdown or recession or instability in financial institutions, on economic activity and on our operations;</w:t>
      </w: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future operating results and cash flow;</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scheduled, budgeted, and other future capital expenditures;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planned or estimated cost savings;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working capital requirements;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execute our strategies, including our ability to successfully identify and consummate strategic acquisitions;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need for and the availability of expected sources of liquidity;</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restrictions contained in our debt agreements;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generate sufficient cash to service our indebtedness, fund our capital requirements and generate future profits;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for our existing and future products;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develop new applications for our technologies;</w:t>
      </w:r>
    </w:p>
    <w:p>
      <w:pPr>
        <w:spacing w:after="0" w:line="71" w:lineRule="exact"/>
        <w:rPr>
          <w:rFonts w:ascii="Times New Roman" w:cs="Times New Roman" w:eastAsia="Times New Roman" w:hAnsi="Times New Roman"/>
          <w:sz w:val="16"/>
          <w:szCs w:val="16"/>
          <w:color w:val="auto"/>
        </w:rPr>
      </w:pPr>
    </w:p>
    <w:p>
      <w:pPr>
        <w:ind w:left="760" w:right="20" w:hanging="378"/>
        <w:spacing w:after="0" w:line="281"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introduction of new drilling or completion techniques, or services using new technologies subject to patent or other intellectual property protections and the availability and enforceability of such intellectual property protections;</w:t>
      </w: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price and availability of alternative fuels and energy sources;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exploration, development and production activities of our customers;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actions taken by our customers, competitors and third-party operators;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effects of pending or future legal proceedings;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existing and future laws and governmental regulations (or the interpretation thereof) on us and our customers;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customers’ future product and service requirements that may not be cost effective or within our capabilities; and</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future operations, financial results, business plans, and cash needs.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These statements are based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(i) risks related to our merger and acquisition activities, including the ultimate outcome and results of integrating operations; the effects of our merger and acquisition activities, including our future financial condition, results of operations, strategy and plans; potential adverse reactions or changes to business relationships resulting from the completion of mergers and acquisitions; expected benefits from mergers and acquisitions and our ability to realize those benefits; the significant costs required to integrate operations; whether mergers or acquisitions related litigation will occur and, if so, the results of any litigation, settlements, and investigations; (ii) operating hazards, natural disasters, weather-related delays, casualty losses, and other matters beyond our control; (iii) acts of terrorism, war or political or civil unrest in the United States or elsewhere; (iv) loss or corruption of our information or a cyberattack on our computer systems; (v) uncertainties pertaining to the Impulse Litigation (as defined below); and (vi) other risks and uncertainties discussed under </w:t>
      </w:r>
      <w:r>
        <w:rPr>
          <w:rFonts w:ascii="Arial" w:cs="Arial" w:eastAsia="Arial" w:hAnsi="Arial"/>
          <w:sz w:val="16"/>
          <w:szCs w:val="16"/>
          <w:i w:val="1"/>
          <w:iCs w:val="1"/>
          <w:color w:val="auto"/>
        </w:rPr>
        <w:t>“Part I, Item 1A. Risk Factors”</w:t>
      </w:r>
      <w:r>
        <w:rPr>
          <w:rFonts w:ascii="Arial" w:cs="Arial" w:eastAsia="Arial" w:hAnsi="Arial"/>
          <w:sz w:val="16"/>
          <w:szCs w:val="16"/>
          <w:color w:val="auto"/>
        </w:rPr>
        <w:t xml:space="preserve"> in our Annual Report on Form 10-K for the year ended December 31, 2025 (our “Annual Report”), “</w:t>
      </w:r>
      <w:r>
        <w:rPr>
          <w:rFonts w:ascii="Arial" w:cs="Arial" w:eastAsia="Arial" w:hAnsi="Arial"/>
          <w:sz w:val="16"/>
          <w:szCs w:val="16"/>
          <w:i w:val="1"/>
          <w:iCs w:val="1"/>
          <w:color w:val="auto"/>
        </w:rPr>
        <w:t>Part II, Item 1A Risk Factors</w:t>
      </w:r>
      <w:r>
        <w:rPr>
          <w:rFonts w:ascii="Arial" w:cs="Arial" w:eastAsia="Arial" w:hAnsi="Arial"/>
          <w:sz w:val="16"/>
          <w:szCs w:val="16"/>
          <w:color w:val="auto"/>
        </w:rPr>
        <w:t>” of any subsequent Quarterly Reports on Form 10-Q and in other filings made by us from time to time with the SEC. Many of such factors are beyond our ability to control or predict. Any of the factors, or a combination of these factors, could materially affect our future results of operations and the ultimate accuracy of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 except as may be required by law.</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spacing w:after="0"/>
        <w:rPr>
          <w:sz w:val="20"/>
          <w:szCs w:val="20"/>
          <w:color w:val="auto"/>
        </w:rPr>
      </w:pPr>
      <w:r>
        <w:rPr>
          <w:rFonts w:ascii="Arial" w:cs="Arial" w:eastAsia="Arial" w:hAnsi="Arial"/>
          <w:sz w:val="19"/>
          <w:szCs w:val="19"/>
          <w:b w:val="1"/>
          <w:bCs w:val="1"/>
          <w:color w:val="auto"/>
        </w:rPr>
        <w:t>PART I — FINANCIAL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FINANCIAL STATEMENTS</w:t>
      </w:r>
    </w:p>
    <w:p>
      <w:pPr>
        <w:jc w:val="center"/>
        <w:spacing w:after="0" w:line="238" w:lineRule="auto"/>
        <w:rPr>
          <w:sz w:val="20"/>
          <w:szCs w:val="20"/>
          <w:color w:val="auto"/>
        </w:rPr>
      </w:pPr>
      <w:r>
        <w:rPr>
          <w:rFonts w:ascii="Arial" w:cs="Arial" w:eastAsia="Arial" w:hAnsi="Arial"/>
          <w:sz w:val="17"/>
          <w:szCs w:val="17"/>
          <w:b w:val="1"/>
          <w:bCs w:val="1"/>
          <w:color w:val="auto"/>
        </w:rPr>
        <w:t>Innovex International, Inc.</w:t>
      </w:r>
    </w:p>
    <w:p>
      <w:pPr>
        <w:jc w:val="center"/>
        <w:spacing w:after="0" w:line="232" w:lineRule="auto"/>
        <w:rPr>
          <w:sz w:val="20"/>
          <w:szCs w:val="20"/>
          <w:color w:val="auto"/>
        </w:rPr>
      </w:pPr>
      <w:r>
        <w:rPr>
          <w:rFonts w:ascii="Arial" w:cs="Arial" w:eastAsia="Arial" w:hAnsi="Arial"/>
          <w:sz w:val="17"/>
          <w:szCs w:val="17"/>
          <w:color w:val="auto"/>
        </w:rPr>
        <w:t>Condensed Consolidated Balance Sheets</w:t>
      </w: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ind w:right="619"/>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43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020" w:type="dxa"/>
            <w:vAlign w:val="bottom"/>
          </w:tcPr>
          <w:p>
            <w:pPr>
              <w:spacing w:after="0"/>
              <w:rPr>
                <w:sz w:val="20"/>
                <w:szCs w:val="20"/>
                <w:color w:val="auto"/>
              </w:rPr>
            </w:pPr>
            <w:r>
              <w:rPr>
                <w:rFonts w:ascii="Arial" w:cs="Arial" w:eastAsia="Arial" w:hAnsi="Arial"/>
                <w:sz w:val="16"/>
                <w:szCs w:val="16"/>
                <w:i w:val="1"/>
                <w:iCs w:val="1"/>
                <w:color w:val="auto"/>
              </w:rPr>
              <w:t>(in thousands, except share and par value amounts)</w:t>
            </w: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2025</w:t>
            </w:r>
          </w:p>
        </w:tc>
      </w:tr>
      <w:tr>
        <w:trPr>
          <w:trHeight w:val="183"/>
        </w:trPr>
        <w:tc>
          <w:tcPr>
            <w:tcW w:w="702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DFF"/>
          </w:tcPr>
          <w:p>
            <w:pPr>
              <w:spacing w:after="0"/>
              <w:rPr>
                <w:sz w:val="15"/>
                <w:szCs w:val="15"/>
                <w:color w:val="auto"/>
              </w:rPr>
            </w:pPr>
          </w:p>
        </w:tc>
        <w:tc>
          <w:tcPr>
            <w:tcW w:w="1700" w:type="dxa"/>
            <w:vAlign w:val="bottom"/>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740" w:type="dxa"/>
            <w:vAlign w:val="bottom"/>
            <w:shd w:val="clear" w:color="auto" w:fill="CCEDFF"/>
          </w:tcPr>
          <w:p>
            <w:pPr>
              <w:spacing w:after="0"/>
              <w:rPr>
                <w:sz w:val="15"/>
                <w:szCs w:val="15"/>
                <w:color w:val="auto"/>
              </w:rPr>
            </w:pPr>
          </w:p>
        </w:tc>
      </w:tr>
      <w:tr>
        <w:trPr>
          <w:trHeight w:val="189"/>
        </w:trPr>
        <w:tc>
          <w:tcPr>
            <w:tcW w:w="7020" w:type="dxa"/>
            <w:vAlign w:val="bottom"/>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Cash and restricted cash</w:t>
            </w:r>
          </w:p>
        </w:tc>
        <w:tc>
          <w:tcPr>
            <w:tcW w:w="340" w:type="dxa"/>
            <w:vAlign w:val="bottom"/>
            <w:shd w:val="clear" w:color="auto" w:fill="CCED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200,707</w:t>
            </w:r>
          </w:p>
        </w:tc>
        <w:tc>
          <w:tcPr>
            <w:tcW w:w="440" w:type="dxa"/>
            <w:vAlign w:val="bottom"/>
            <w:gridSpan w:val="2"/>
            <w:shd w:val="clear" w:color="auto" w:fill="CCEDFF"/>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203,407</w:t>
            </w:r>
          </w:p>
        </w:tc>
      </w:tr>
      <w:tr>
        <w:trPr>
          <w:trHeight w:val="175"/>
        </w:trPr>
        <w:tc>
          <w:tcPr>
            <w:tcW w:w="7020" w:type="dxa"/>
            <w:vAlign w:val="bottom"/>
          </w:tcPr>
          <w:p>
            <w:pPr>
              <w:ind w:left="140"/>
              <w:spacing w:after="0" w:line="175" w:lineRule="exact"/>
              <w:rPr>
                <w:sz w:val="20"/>
                <w:szCs w:val="20"/>
                <w:color w:val="auto"/>
              </w:rPr>
            </w:pPr>
            <w:r>
              <w:rPr>
                <w:rFonts w:ascii="Arial" w:cs="Arial" w:eastAsia="Arial" w:hAnsi="Arial"/>
                <w:sz w:val="16"/>
                <w:szCs w:val="16"/>
                <w:color w:val="auto"/>
              </w:rPr>
              <w:t>Trade receivables, net of allowance of $16,330 and $19,752 at March 31, 2026 and</w:t>
            </w: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7020" w:type="dxa"/>
            <w:vAlign w:val="bottom"/>
          </w:tcPr>
          <w:p>
            <w:pPr>
              <w:ind w:left="140"/>
              <w:spacing w:after="0"/>
              <w:rPr>
                <w:sz w:val="20"/>
                <w:szCs w:val="20"/>
                <w:color w:val="auto"/>
              </w:rPr>
            </w:pPr>
            <w:r>
              <w:rPr>
                <w:rFonts w:ascii="Arial" w:cs="Arial" w:eastAsia="Arial" w:hAnsi="Arial"/>
                <w:sz w:val="16"/>
                <w:szCs w:val="16"/>
                <w:color w:val="auto"/>
              </w:rPr>
              <w:t>December 31, 2025, respectively</w:t>
            </w:r>
          </w:p>
        </w:tc>
        <w:tc>
          <w:tcPr>
            <w:tcW w:w="340" w:type="dxa"/>
            <w:vAlign w:val="bottom"/>
          </w:tcPr>
          <w:p>
            <w:pPr>
              <w:spacing w:after="0"/>
              <w:rPr>
                <w:sz w:val="17"/>
                <w:szCs w:val="17"/>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245,633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237,774</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Contract assets</w:t>
            </w:r>
          </w:p>
        </w:tc>
        <w:tc>
          <w:tcPr>
            <w:tcW w:w="340" w:type="dxa"/>
            <w:vAlign w:val="bottom"/>
            <w:shd w:val="clear" w:color="auto" w:fill="CCEDFF"/>
          </w:tcPr>
          <w:p>
            <w:pPr>
              <w:spacing w:after="0"/>
              <w:rPr>
                <w:sz w:val="16"/>
                <w:szCs w:val="16"/>
                <w:color w:val="auto"/>
              </w:rPr>
            </w:pP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2,803</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2,705</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252,987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248,433</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Assets held for sale</w:t>
            </w:r>
          </w:p>
        </w:tc>
        <w:tc>
          <w:tcPr>
            <w:tcW w:w="340" w:type="dxa"/>
            <w:vAlign w:val="bottom"/>
            <w:shd w:val="clear" w:color="auto" w:fill="CCEDFF"/>
          </w:tcPr>
          <w:p>
            <w:pPr>
              <w:spacing w:after="0"/>
              <w:rPr>
                <w:sz w:val="16"/>
                <w:szCs w:val="16"/>
                <w:color w:val="auto"/>
              </w:rPr>
            </w:pP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1,234</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49,527</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35,728</w:t>
            </w:r>
          </w:p>
        </w:tc>
      </w:tr>
      <w:tr>
        <w:trPr>
          <w:trHeight w:val="183"/>
        </w:trPr>
        <w:tc>
          <w:tcPr>
            <w:tcW w:w="7020" w:type="dxa"/>
            <w:vAlign w:val="bottom"/>
            <w:tcBorders>
              <w:bottom w:val="single" w:sz="8" w:color="CCEDFF"/>
            </w:tcBorders>
            <w:shd w:val="clear" w:color="auto" w:fill="CCEDFF"/>
          </w:tcPr>
          <w:p>
            <w:pPr>
              <w:ind w:left="260"/>
              <w:spacing w:after="0" w:line="183" w:lineRule="exact"/>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shd w:val="clear" w:color="auto" w:fill="CCEDFF"/>
          </w:tcPr>
          <w:p>
            <w:pPr>
              <w:spacing w:after="0"/>
              <w:rPr>
                <w:sz w:val="15"/>
                <w:szCs w:val="15"/>
                <w:color w:val="auto"/>
              </w:rPr>
            </w:pPr>
          </w:p>
        </w:tc>
        <w:tc>
          <w:tcPr>
            <w:tcW w:w="170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752,891</w:t>
            </w:r>
          </w:p>
        </w:tc>
        <w:tc>
          <w:tcPr>
            <w:tcW w:w="200" w:type="dxa"/>
            <w:vAlign w:val="bottom"/>
            <w:tcBorders>
              <w:bottom w:val="single" w:sz="8" w:color="CCEDFF"/>
            </w:tcBorders>
            <w:shd w:val="clear" w:color="auto" w:fill="CCEDFF"/>
          </w:tcPr>
          <w:p>
            <w:pPr>
              <w:spacing w:after="0"/>
              <w:rPr>
                <w:sz w:val="15"/>
                <w:szCs w:val="15"/>
                <w:color w:val="auto"/>
              </w:rPr>
            </w:pPr>
          </w:p>
        </w:tc>
        <w:tc>
          <w:tcPr>
            <w:tcW w:w="240" w:type="dxa"/>
            <w:vAlign w:val="bottom"/>
            <w:tcBorders>
              <w:bottom w:val="single" w:sz="8" w:color="auto"/>
            </w:tcBorders>
            <w:shd w:val="clear" w:color="auto" w:fill="CCEDFF"/>
          </w:tcPr>
          <w:p>
            <w:pPr>
              <w:spacing w:after="0"/>
              <w:rPr>
                <w:sz w:val="15"/>
                <w:szCs w:val="15"/>
                <w:color w:val="auto"/>
              </w:rPr>
            </w:pPr>
          </w:p>
        </w:tc>
        <w:tc>
          <w:tcPr>
            <w:tcW w:w="174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728,047</w:t>
            </w:r>
          </w:p>
        </w:tc>
      </w:tr>
      <w:tr>
        <w:trPr>
          <w:trHeight w:val="183"/>
        </w:trPr>
        <w:tc>
          <w:tcPr>
            <w:tcW w:w="7020" w:type="dxa"/>
            <w:vAlign w:val="bottom"/>
          </w:tcPr>
          <w:p>
            <w:pPr>
              <w:spacing w:after="0" w:line="183" w:lineRule="exact"/>
              <w:rPr>
                <w:sz w:val="20"/>
                <w:szCs w:val="20"/>
                <w:color w:val="auto"/>
              </w:rPr>
            </w:pPr>
            <w:r>
              <w:rPr>
                <w:rFonts w:ascii="Arial" w:cs="Arial" w:eastAsia="Arial" w:hAnsi="Arial"/>
                <w:sz w:val="16"/>
                <w:szCs w:val="16"/>
                <w:color w:val="auto"/>
              </w:rPr>
              <w:t>Noncurrent assets</w:t>
            </w: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CEDFF"/>
          </w:tcPr>
          <w:p>
            <w:pPr>
              <w:spacing w:after="0"/>
              <w:rPr>
                <w:sz w:val="16"/>
                <w:szCs w:val="16"/>
                <w:color w:val="auto"/>
              </w:rPr>
            </w:pP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163,328</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158,874</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Right-of-use assets – operating</w:t>
            </w:r>
          </w:p>
        </w:tc>
        <w:tc>
          <w:tcPr>
            <w:tcW w:w="3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51,213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52,204</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DFF"/>
          </w:tcPr>
          <w:p>
            <w:pPr>
              <w:spacing w:after="0"/>
              <w:rPr>
                <w:sz w:val="16"/>
                <w:szCs w:val="16"/>
                <w:color w:val="auto"/>
              </w:rPr>
            </w:pP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99,758</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99,720</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Intangibles, net</w:t>
            </w:r>
          </w:p>
        </w:tc>
        <w:tc>
          <w:tcPr>
            <w:tcW w:w="3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111,980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116,230</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Deferred tax asset, net</w:t>
            </w:r>
          </w:p>
        </w:tc>
        <w:tc>
          <w:tcPr>
            <w:tcW w:w="340" w:type="dxa"/>
            <w:vAlign w:val="bottom"/>
            <w:shd w:val="clear" w:color="auto" w:fill="CCEDFF"/>
          </w:tcPr>
          <w:p>
            <w:pPr>
              <w:spacing w:after="0"/>
              <w:rPr>
                <w:sz w:val="16"/>
                <w:szCs w:val="16"/>
                <w:color w:val="auto"/>
              </w:rPr>
            </w:pP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98,226</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102,375</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Other long-term assets</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10,281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10,857</w:t>
            </w:r>
          </w:p>
        </w:tc>
      </w:tr>
      <w:tr>
        <w:trPr>
          <w:trHeight w:val="183"/>
        </w:trPr>
        <w:tc>
          <w:tcPr>
            <w:tcW w:w="7020" w:type="dxa"/>
            <w:vAlign w:val="bottom"/>
            <w:tcBorders>
              <w:bottom w:val="single" w:sz="8" w:color="CCEDFF"/>
            </w:tcBorders>
            <w:shd w:val="clear" w:color="auto" w:fill="CCEDFF"/>
          </w:tcPr>
          <w:p>
            <w:pPr>
              <w:ind w:left="260"/>
              <w:spacing w:after="0" w:line="183" w:lineRule="exact"/>
              <w:rPr>
                <w:sz w:val="20"/>
                <w:szCs w:val="20"/>
                <w:color w:val="auto"/>
              </w:rPr>
            </w:pPr>
            <w:r>
              <w:rPr>
                <w:rFonts w:ascii="Arial" w:cs="Arial" w:eastAsia="Arial" w:hAnsi="Arial"/>
                <w:sz w:val="16"/>
                <w:szCs w:val="16"/>
                <w:color w:val="auto"/>
              </w:rPr>
              <w:t>Total noncurrent assets</w:t>
            </w:r>
          </w:p>
        </w:tc>
        <w:tc>
          <w:tcPr>
            <w:tcW w:w="340" w:type="dxa"/>
            <w:vAlign w:val="bottom"/>
            <w:tcBorders>
              <w:bottom w:val="single" w:sz="8" w:color="auto"/>
            </w:tcBorders>
            <w:shd w:val="clear" w:color="auto" w:fill="CCEDFF"/>
          </w:tcPr>
          <w:p>
            <w:pPr>
              <w:spacing w:after="0"/>
              <w:rPr>
                <w:sz w:val="15"/>
                <w:szCs w:val="15"/>
                <w:color w:val="auto"/>
              </w:rPr>
            </w:pPr>
          </w:p>
        </w:tc>
        <w:tc>
          <w:tcPr>
            <w:tcW w:w="170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534,786</w:t>
            </w:r>
          </w:p>
        </w:tc>
        <w:tc>
          <w:tcPr>
            <w:tcW w:w="200" w:type="dxa"/>
            <w:vAlign w:val="bottom"/>
            <w:tcBorders>
              <w:bottom w:val="single" w:sz="8" w:color="CCEDFF"/>
            </w:tcBorders>
            <w:shd w:val="clear" w:color="auto" w:fill="CCEDFF"/>
          </w:tcPr>
          <w:p>
            <w:pPr>
              <w:spacing w:after="0"/>
              <w:rPr>
                <w:sz w:val="15"/>
                <w:szCs w:val="15"/>
                <w:color w:val="auto"/>
              </w:rPr>
            </w:pPr>
          </w:p>
        </w:tc>
        <w:tc>
          <w:tcPr>
            <w:tcW w:w="240" w:type="dxa"/>
            <w:vAlign w:val="bottom"/>
            <w:tcBorders>
              <w:bottom w:val="single" w:sz="8" w:color="auto"/>
            </w:tcBorders>
            <w:shd w:val="clear" w:color="auto" w:fill="CCEDFF"/>
          </w:tcPr>
          <w:p>
            <w:pPr>
              <w:spacing w:after="0"/>
              <w:rPr>
                <w:sz w:val="15"/>
                <w:szCs w:val="15"/>
                <w:color w:val="auto"/>
              </w:rPr>
            </w:pPr>
          </w:p>
        </w:tc>
        <w:tc>
          <w:tcPr>
            <w:tcW w:w="174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540,260</w:t>
            </w:r>
          </w:p>
        </w:tc>
      </w:tr>
      <w:tr>
        <w:trPr>
          <w:trHeight w:val="183"/>
        </w:trPr>
        <w:tc>
          <w:tcPr>
            <w:tcW w:w="7020" w:type="dxa"/>
            <w:vAlign w:val="bottom"/>
          </w:tcPr>
          <w:p>
            <w:pPr>
              <w:ind w:left="260"/>
              <w:spacing w:after="0" w:line="183" w:lineRule="exact"/>
              <w:rPr>
                <w:sz w:val="20"/>
                <w:szCs w:val="20"/>
                <w:color w:val="auto"/>
              </w:rPr>
            </w:pPr>
            <w:r>
              <w:rPr>
                <w:rFonts w:ascii="Arial" w:cs="Arial" w:eastAsia="Arial" w:hAnsi="Arial"/>
                <w:sz w:val="16"/>
                <w:szCs w:val="16"/>
                <w:b w:val="1"/>
                <w:bCs w:val="1"/>
                <w:color w:val="auto"/>
              </w:rPr>
              <w:t>Total assets</w:t>
            </w: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b w:val="1"/>
                <w:bCs w:val="1"/>
                <w:color w:val="auto"/>
                <w:w w:val="89"/>
              </w:rPr>
              <w:t>$</w:t>
            </w:r>
          </w:p>
        </w:tc>
        <w:tc>
          <w:tcPr>
            <w:tcW w:w="170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1,287,677</w:t>
            </w:r>
          </w:p>
        </w:tc>
        <w:tc>
          <w:tcPr>
            <w:tcW w:w="44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74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1,268,307</w:t>
            </w:r>
          </w:p>
        </w:tc>
      </w:tr>
      <w:tr>
        <w:trPr>
          <w:trHeight w:val="20"/>
        </w:trPr>
        <w:tc>
          <w:tcPr>
            <w:tcW w:w="7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7020" w:type="dxa"/>
            <w:vAlign w:val="bottom"/>
            <w:shd w:val="clear" w:color="auto" w:fill="CCEDFF"/>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shd w:val="clear" w:color="auto" w:fill="CCEDFF"/>
          </w:tcPr>
          <w:p>
            <w:pPr>
              <w:spacing w:after="0"/>
              <w:rPr>
                <w:sz w:val="14"/>
                <w:szCs w:val="14"/>
                <w:color w:val="auto"/>
              </w:rPr>
            </w:pPr>
          </w:p>
        </w:tc>
        <w:tc>
          <w:tcPr>
            <w:tcW w:w="1700" w:type="dxa"/>
            <w:vAlign w:val="bottom"/>
            <w:shd w:val="clear" w:color="auto" w:fill="CCEDFF"/>
          </w:tcPr>
          <w:p>
            <w:pPr>
              <w:spacing w:after="0"/>
              <w:rPr>
                <w:sz w:val="14"/>
                <w:szCs w:val="14"/>
                <w:color w:val="auto"/>
              </w:rPr>
            </w:pPr>
          </w:p>
        </w:tc>
        <w:tc>
          <w:tcPr>
            <w:tcW w:w="200" w:type="dxa"/>
            <w:vAlign w:val="bottom"/>
            <w:shd w:val="clear" w:color="auto" w:fill="CCEDFF"/>
          </w:tcPr>
          <w:p>
            <w:pPr>
              <w:spacing w:after="0"/>
              <w:rPr>
                <w:sz w:val="14"/>
                <w:szCs w:val="14"/>
                <w:color w:val="auto"/>
              </w:rPr>
            </w:pPr>
          </w:p>
        </w:tc>
        <w:tc>
          <w:tcPr>
            <w:tcW w:w="240" w:type="dxa"/>
            <w:vAlign w:val="bottom"/>
            <w:shd w:val="clear" w:color="auto" w:fill="CCEDFF"/>
          </w:tcPr>
          <w:p>
            <w:pPr>
              <w:spacing w:after="0"/>
              <w:rPr>
                <w:sz w:val="14"/>
                <w:szCs w:val="14"/>
                <w:color w:val="auto"/>
              </w:rPr>
            </w:pPr>
          </w:p>
        </w:tc>
        <w:tc>
          <w:tcPr>
            <w:tcW w:w="1740" w:type="dxa"/>
            <w:vAlign w:val="bottom"/>
            <w:shd w:val="clear" w:color="auto" w:fill="CCEDFF"/>
          </w:tcPr>
          <w:p>
            <w:pPr>
              <w:spacing w:after="0"/>
              <w:rPr>
                <w:sz w:val="14"/>
                <w:szCs w:val="14"/>
                <w:color w:val="auto"/>
              </w:rPr>
            </w:pPr>
          </w:p>
        </w:tc>
      </w:tr>
      <w:tr>
        <w:trPr>
          <w:trHeight w:val="189"/>
        </w:trPr>
        <w:tc>
          <w:tcPr>
            <w:tcW w:w="7020" w:type="dxa"/>
            <w:vAlign w:val="bottom"/>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DFF"/>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74,888</w:t>
            </w:r>
          </w:p>
        </w:tc>
        <w:tc>
          <w:tcPr>
            <w:tcW w:w="440" w:type="dxa"/>
            <w:vAlign w:val="bottom"/>
            <w:gridSpan w:val="2"/>
            <w:shd w:val="clear" w:color="auto" w:fill="CCEDFF"/>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60,711</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3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35,232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49,148</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CEDFF"/>
          </w:tcPr>
          <w:p>
            <w:pPr>
              <w:spacing w:after="0"/>
              <w:rPr>
                <w:sz w:val="16"/>
                <w:szCs w:val="16"/>
                <w:color w:val="auto"/>
              </w:rPr>
            </w:pP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12,643</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12,670</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Contract liabilities</w:t>
            </w:r>
          </w:p>
        </w:tc>
        <w:tc>
          <w:tcPr>
            <w:tcW w:w="3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11,144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11,986</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Current portion of long-term debt and finance lease obligations</w:t>
            </w:r>
          </w:p>
        </w:tc>
        <w:tc>
          <w:tcPr>
            <w:tcW w:w="340" w:type="dxa"/>
            <w:vAlign w:val="bottom"/>
            <w:shd w:val="clear" w:color="auto" w:fill="CCEDFF"/>
          </w:tcPr>
          <w:p>
            <w:pPr>
              <w:spacing w:after="0"/>
              <w:rPr>
                <w:sz w:val="16"/>
                <w:szCs w:val="16"/>
                <w:color w:val="auto"/>
              </w:rPr>
            </w:pP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6,170</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6,709</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7,685</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6,940</w:t>
            </w:r>
          </w:p>
        </w:tc>
      </w:tr>
      <w:tr>
        <w:trPr>
          <w:trHeight w:val="183"/>
        </w:trPr>
        <w:tc>
          <w:tcPr>
            <w:tcW w:w="7020" w:type="dxa"/>
            <w:vAlign w:val="bottom"/>
            <w:tcBorders>
              <w:bottom w:val="single" w:sz="8" w:color="CCEDFF"/>
            </w:tcBorders>
            <w:shd w:val="clear" w:color="auto" w:fill="CCEDFF"/>
          </w:tcPr>
          <w:p>
            <w:pPr>
              <w:ind w:left="260"/>
              <w:spacing w:after="0" w:line="183" w:lineRule="exact"/>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shd w:val="clear" w:color="auto" w:fill="CCEDFF"/>
          </w:tcPr>
          <w:p>
            <w:pPr>
              <w:spacing w:after="0"/>
              <w:rPr>
                <w:sz w:val="15"/>
                <w:szCs w:val="15"/>
                <w:color w:val="auto"/>
              </w:rPr>
            </w:pPr>
          </w:p>
        </w:tc>
        <w:tc>
          <w:tcPr>
            <w:tcW w:w="170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147,762</w:t>
            </w:r>
          </w:p>
        </w:tc>
        <w:tc>
          <w:tcPr>
            <w:tcW w:w="200" w:type="dxa"/>
            <w:vAlign w:val="bottom"/>
            <w:tcBorders>
              <w:bottom w:val="single" w:sz="8" w:color="CCEDFF"/>
            </w:tcBorders>
            <w:shd w:val="clear" w:color="auto" w:fill="CCEDFF"/>
          </w:tcPr>
          <w:p>
            <w:pPr>
              <w:spacing w:after="0"/>
              <w:rPr>
                <w:sz w:val="15"/>
                <w:szCs w:val="15"/>
                <w:color w:val="auto"/>
              </w:rPr>
            </w:pPr>
          </w:p>
        </w:tc>
        <w:tc>
          <w:tcPr>
            <w:tcW w:w="240" w:type="dxa"/>
            <w:vAlign w:val="bottom"/>
            <w:tcBorders>
              <w:bottom w:val="single" w:sz="8" w:color="auto"/>
            </w:tcBorders>
            <w:shd w:val="clear" w:color="auto" w:fill="CCEDFF"/>
          </w:tcPr>
          <w:p>
            <w:pPr>
              <w:spacing w:after="0"/>
              <w:rPr>
                <w:sz w:val="15"/>
                <w:szCs w:val="15"/>
                <w:color w:val="auto"/>
              </w:rPr>
            </w:pPr>
          </w:p>
        </w:tc>
        <w:tc>
          <w:tcPr>
            <w:tcW w:w="174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148,164</w:t>
            </w:r>
          </w:p>
        </w:tc>
      </w:tr>
      <w:tr>
        <w:trPr>
          <w:trHeight w:val="183"/>
        </w:trPr>
        <w:tc>
          <w:tcPr>
            <w:tcW w:w="7020" w:type="dxa"/>
            <w:vAlign w:val="bottom"/>
          </w:tcPr>
          <w:p>
            <w:pPr>
              <w:spacing w:after="0" w:line="183" w:lineRule="exact"/>
              <w:rPr>
                <w:sz w:val="20"/>
                <w:szCs w:val="20"/>
                <w:color w:val="auto"/>
              </w:rPr>
            </w:pPr>
            <w:r>
              <w:rPr>
                <w:rFonts w:ascii="Arial" w:cs="Arial" w:eastAsia="Arial" w:hAnsi="Arial"/>
                <w:sz w:val="16"/>
                <w:szCs w:val="16"/>
                <w:color w:val="auto"/>
              </w:rPr>
              <w:t>Noncurrent liabilities</w:t>
            </w: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Long-term debt and finance lease obligations</w:t>
            </w:r>
          </w:p>
        </w:tc>
        <w:tc>
          <w:tcPr>
            <w:tcW w:w="340" w:type="dxa"/>
            <w:vAlign w:val="bottom"/>
            <w:shd w:val="clear" w:color="auto" w:fill="CCEDFF"/>
          </w:tcPr>
          <w:p>
            <w:pPr>
              <w:spacing w:after="0"/>
              <w:rPr>
                <w:sz w:val="16"/>
                <w:szCs w:val="16"/>
                <w:color w:val="auto"/>
              </w:rPr>
            </w:pP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18,042</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18,922</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39,349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40,986</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DFF"/>
          </w:tcPr>
          <w:p>
            <w:pPr>
              <w:spacing w:after="0"/>
              <w:rPr>
                <w:sz w:val="16"/>
                <w:szCs w:val="16"/>
                <w:color w:val="auto"/>
              </w:rPr>
            </w:pP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743</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500</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Legal settlement accrual</w:t>
            </w:r>
          </w:p>
        </w:tc>
        <w:tc>
          <w:tcPr>
            <w:tcW w:w="3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48,803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tcBorders>
              <w:bottom w:val="single" w:sz="8" w:color="CCEDFF"/>
            </w:tcBorders>
            <w:shd w:val="clear" w:color="auto" w:fill="CCEDFF"/>
          </w:tcPr>
          <w:p>
            <w:pPr>
              <w:ind w:left="14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shd w:val="clear" w:color="auto" w:fill="CCEDFF"/>
          </w:tcPr>
          <w:p>
            <w:pPr>
              <w:spacing w:after="0"/>
              <w:rPr>
                <w:sz w:val="16"/>
                <w:szCs w:val="16"/>
                <w:color w:val="auto"/>
              </w:rPr>
            </w:pPr>
          </w:p>
        </w:tc>
        <w:tc>
          <w:tcPr>
            <w:tcW w:w="170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2,073</w:t>
            </w:r>
          </w:p>
        </w:tc>
        <w:tc>
          <w:tcPr>
            <w:tcW w:w="200" w:type="dxa"/>
            <w:vAlign w:val="bottom"/>
            <w:tcBorders>
              <w:bottom w:val="single" w:sz="8" w:color="CCEDFF"/>
            </w:tcBorders>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7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2,036</w:t>
            </w:r>
          </w:p>
        </w:tc>
      </w:tr>
      <w:tr>
        <w:trPr>
          <w:trHeight w:val="183"/>
        </w:trPr>
        <w:tc>
          <w:tcPr>
            <w:tcW w:w="7020" w:type="dxa"/>
            <w:vAlign w:val="bottom"/>
          </w:tcPr>
          <w:p>
            <w:pPr>
              <w:ind w:left="260"/>
              <w:spacing w:after="0" w:line="183" w:lineRule="exact"/>
              <w:rPr>
                <w:sz w:val="20"/>
                <w:szCs w:val="20"/>
                <w:color w:val="auto"/>
              </w:rPr>
            </w:pPr>
            <w:r>
              <w:rPr>
                <w:rFonts w:ascii="Arial" w:cs="Arial" w:eastAsia="Arial" w:hAnsi="Arial"/>
                <w:sz w:val="16"/>
                <w:szCs w:val="16"/>
                <w:color w:val="auto"/>
              </w:rPr>
              <w:t>Total noncurrent liabilities</w:t>
            </w: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109,010</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62,444</w:t>
            </w:r>
          </w:p>
        </w:tc>
      </w:tr>
      <w:tr>
        <w:trPr>
          <w:trHeight w:val="183"/>
        </w:trPr>
        <w:tc>
          <w:tcPr>
            <w:tcW w:w="7020" w:type="dxa"/>
            <w:vAlign w:val="bottom"/>
            <w:shd w:val="clear" w:color="auto" w:fill="CCEDFF"/>
          </w:tcPr>
          <w:p>
            <w:pPr>
              <w:ind w:left="260"/>
              <w:spacing w:after="0" w:line="183" w:lineRule="exact"/>
              <w:rPr>
                <w:sz w:val="20"/>
                <w:szCs w:val="20"/>
                <w:color w:val="auto"/>
              </w:rPr>
            </w:pPr>
            <w:r>
              <w:rPr>
                <w:rFonts w:ascii="Arial" w:cs="Arial" w:eastAsia="Arial" w:hAnsi="Arial"/>
                <w:sz w:val="16"/>
                <w:szCs w:val="16"/>
                <w:b w:val="1"/>
                <w:bCs w:val="1"/>
                <w:color w:val="auto"/>
              </w:rPr>
              <w:t>Total liabilities</w:t>
            </w:r>
          </w:p>
        </w:tc>
        <w:tc>
          <w:tcPr>
            <w:tcW w:w="340" w:type="dxa"/>
            <w:vAlign w:val="bottom"/>
            <w:shd w:val="clear" w:color="auto" w:fill="CCEDFF"/>
          </w:tcPr>
          <w:p>
            <w:pPr>
              <w:jc w:val="right"/>
              <w:ind w:right="159"/>
              <w:spacing w:after="0" w:line="183" w:lineRule="exact"/>
              <w:rPr>
                <w:sz w:val="20"/>
                <w:szCs w:val="20"/>
                <w:color w:val="auto"/>
              </w:rPr>
            </w:pPr>
            <w:r>
              <w:rPr>
                <w:rFonts w:ascii="Arial" w:cs="Arial" w:eastAsia="Arial" w:hAnsi="Arial"/>
                <w:sz w:val="16"/>
                <w:szCs w:val="16"/>
                <w:b w:val="1"/>
                <w:bCs w:val="1"/>
                <w:color w:val="auto"/>
                <w:w w:val="89"/>
              </w:rPr>
              <w:t>$</w:t>
            </w:r>
          </w:p>
        </w:tc>
        <w:tc>
          <w:tcPr>
            <w:tcW w:w="170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256,772</w:t>
            </w:r>
          </w:p>
        </w:tc>
        <w:tc>
          <w:tcPr>
            <w:tcW w:w="44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7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210,608</w:t>
            </w:r>
          </w:p>
        </w:tc>
      </w:tr>
      <w:tr>
        <w:trPr>
          <w:trHeight w:val="183"/>
        </w:trPr>
        <w:tc>
          <w:tcPr>
            <w:tcW w:w="7020" w:type="dxa"/>
            <w:vAlign w:val="bottom"/>
            <w:tcBorders>
              <w:top w:val="single" w:sz="8" w:color="CCEDFF"/>
            </w:tcBorders>
          </w:tcPr>
          <w:p>
            <w:pPr>
              <w:spacing w:after="0" w:line="183" w:lineRule="exact"/>
              <w:rPr>
                <w:sz w:val="20"/>
                <w:szCs w:val="20"/>
                <w:color w:val="auto"/>
              </w:rPr>
            </w:pPr>
            <w:r>
              <w:rPr>
                <w:rFonts w:ascii="Arial" w:cs="Arial" w:eastAsia="Arial" w:hAnsi="Arial"/>
                <w:sz w:val="16"/>
                <w:szCs w:val="16"/>
                <w:color w:val="auto"/>
              </w:rPr>
              <w:t>Commitments and contingencies (Note 16)</w:t>
            </w:r>
          </w:p>
        </w:tc>
        <w:tc>
          <w:tcPr>
            <w:tcW w:w="3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200" w:type="dxa"/>
            <w:vAlign w:val="bottom"/>
            <w:tcBorders>
              <w:top w:val="single" w:sz="8" w:color="CCED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r>
      <w:tr>
        <w:trPr>
          <w:trHeight w:val="189"/>
        </w:trPr>
        <w:tc>
          <w:tcPr>
            <w:tcW w:w="7020" w:type="dxa"/>
            <w:vAlign w:val="bottom"/>
            <w:shd w:val="clear" w:color="auto" w:fill="CCEDFF"/>
          </w:tcPr>
          <w:p>
            <w:pPr>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CEDFF"/>
          </w:tcPr>
          <w:p>
            <w:pPr>
              <w:spacing w:after="0"/>
              <w:rPr>
                <w:sz w:val="16"/>
                <w:szCs w:val="16"/>
                <w:color w:val="auto"/>
              </w:rPr>
            </w:pPr>
          </w:p>
        </w:tc>
        <w:tc>
          <w:tcPr>
            <w:tcW w:w="170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spacing w:after="0"/>
              <w:rPr>
                <w:sz w:val="16"/>
                <w:szCs w:val="16"/>
                <w:color w:val="auto"/>
              </w:rPr>
            </w:pP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Preferred stock: 10,000,000 shares authorized at $0.01 par value (none issued)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75"/>
        </w:trPr>
        <w:tc>
          <w:tcPr>
            <w:tcW w:w="7020" w:type="dxa"/>
            <w:vAlign w:val="bottom"/>
            <w:shd w:val="clear" w:color="auto" w:fill="CCEDFF"/>
          </w:tcPr>
          <w:p>
            <w:pPr>
              <w:ind w:left="140"/>
              <w:spacing w:after="0" w:line="175" w:lineRule="exact"/>
              <w:rPr>
                <w:sz w:val="20"/>
                <w:szCs w:val="20"/>
                <w:color w:val="auto"/>
              </w:rPr>
            </w:pPr>
            <w:r>
              <w:rPr>
                <w:rFonts w:ascii="Arial" w:cs="Arial" w:eastAsia="Arial" w:hAnsi="Arial"/>
                <w:sz w:val="16"/>
                <w:szCs w:val="16"/>
                <w:color w:val="auto"/>
              </w:rPr>
              <w:t>Common stock: $0.01 par value, 200,000,000 shares authorized at March 31, 2026 and</w:t>
            </w:r>
          </w:p>
        </w:tc>
        <w:tc>
          <w:tcPr>
            <w:tcW w:w="340" w:type="dxa"/>
            <w:vAlign w:val="bottom"/>
            <w:shd w:val="clear" w:color="auto" w:fill="CCEDFF"/>
          </w:tcPr>
          <w:p>
            <w:pPr>
              <w:spacing w:after="0"/>
              <w:rPr>
                <w:sz w:val="15"/>
                <w:szCs w:val="15"/>
                <w:color w:val="auto"/>
              </w:rPr>
            </w:pPr>
          </w:p>
        </w:tc>
        <w:tc>
          <w:tcPr>
            <w:tcW w:w="1700" w:type="dxa"/>
            <w:vAlign w:val="bottom"/>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740" w:type="dxa"/>
            <w:vAlign w:val="bottom"/>
            <w:shd w:val="clear" w:color="auto" w:fill="CCEDFF"/>
          </w:tcPr>
          <w:p>
            <w:pPr>
              <w:spacing w:after="0"/>
              <w:rPr>
                <w:sz w:val="15"/>
                <w:szCs w:val="15"/>
                <w:color w:val="auto"/>
              </w:rPr>
            </w:pP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December 31, 2025; 68,635,016 and 69,077,237 shares issued and outstanding at March 31,</w:t>
            </w:r>
          </w:p>
        </w:tc>
        <w:tc>
          <w:tcPr>
            <w:tcW w:w="340" w:type="dxa"/>
            <w:vAlign w:val="bottom"/>
            <w:shd w:val="clear" w:color="auto" w:fill="CCEDFF"/>
          </w:tcPr>
          <w:p>
            <w:pPr>
              <w:spacing w:after="0"/>
              <w:rPr>
                <w:sz w:val="16"/>
                <w:szCs w:val="16"/>
                <w:color w:val="auto"/>
              </w:rPr>
            </w:pPr>
          </w:p>
        </w:tc>
        <w:tc>
          <w:tcPr>
            <w:tcW w:w="170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spacing w:after="0"/>
              <w:rPr>
                <w:sz w:val="16"/>
                <w:szCs w:val="16"/>
                <w:color w:val="auto"/>
              </w:rPr>
            </w:pPr>
          </w:p>
        </w:tc>
      </w:tr>
      <w:tr>
        <w:trPr>
          <w:trHeight w:val="203"/>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2026 and December 31, 2025, respectively</w:t>
            </w:r>
          </w:p>
        </w:tc>
        <w:tc>
          <w:tcPr>
            <w:tcW w:w="340" w:type="dxa"/>
            <w:vAlign w:val="bottom"/>
            <w:shd w:val="clear" w:color="auto" w:fill="CCEDFF"/>
          </w:tcPr>
          <w:p>
            <w:pPr>
              <w:spacing w:after="0"/>
              <w:rPr>
                <w:sz w:val="17"/>
                <w:szCs w:val="17"/>
                <w:color w:val="auto"/>
              </w:rPr>
            </w:pP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686</w:t>
            </w:r>
          </w:p>
        </w:tc>
        <w:tc>
          <w:tcPr>
            <w:tcW w:w="200" w:type="dxa"/>
            <w:vAlign w:val="bottom"/>
            <w:shd w:val="clear" w:color="auto" w:fill="CCEDFF"/>
          </w:tcPr>
          <w:p>
            <w:pPr>
              <w:spacing w:after="0"/>
              <w:rPr>
                <w:sz w:val="17"/>
                <w:szCs w:val="17"/>
                <w:color w:val="auto"/>
              </w:rPr>
            </w:pPr>
          </w:p>
        </w:tc>
        <w:tc>
          <w:tcPr>
            <w:tcW w:w="240" w:type="dxa"/>
            <w:vAlign w:val="bottom"/>
            <w:shd w:val="clear" w:color="auto" w:fill="CCEDFF"/>
          </w:tcPr>
          <w:p>
            <w:pPr>
              <w:spacing w:after="0"/>
              <w:rPr>
                <w:sz w:val="17"/>
                <w:szCs w:val="17"/>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691</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769,905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767,650</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shd w:val="clear" w:color="auto" w:fill="CCEDFF"/>
          </w:tcPr>
          <w:p>
            <w:pPr>
              <w:spacing w:after="0"/>
              <w:rPr>
                <w:sz w:val="16"/>
                <w:szCs w:val="16"/>
                <w:color w:val="auto"/>
              </w:rPr>
            </w:pPr>
          </w:p>
        </w:tc>
        <w:tc>
          <w:tcPr>
            <w:tcW w:w="1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5,834</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4,084</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254,480</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285,274</w:t>
            </w:r>
          </w:p>
        </w:tc>
      </w:tr>
      <w:tr>
        <w:trPr>
          <w:trHeight w:val="183"/>
        </w:trPr>
        <w:tc>
          <w:tcPr>
            <w:tcW w:w="7020" w:type="dxa"/>
            <w:vAlign w:val="bottom"/>
            <w:shd w:val="clear" w:color="auto" w:fill="CCEDFF"/>
          </w:tcPr>
          <w:p>
            <w:pPr>
              <w:ind w:left="260"/>
              <w:spacing w:after="0" w:line="183" w:lineRule="exact"/>
              <w:rPr>
                <w:sz w:val="20"/>
                <w:szCs w:val="20"/>
                <w:color w:val="auto"/>
              </w:rPr>
            </w:pPr>
            <w:r>
              <w:rPr>
                <w:rFonts w:ascii="Arial" w:cs="Arial" w:eastAsia="Arial" w:hAnsi="Arial"/>
                <w:sz w:val="16"/>
                <w:szCs w:val="16"/>
                <w:b w:val="1"/>
                <w:bCs w:val="1"/>
                <w:color w:val="auto"/>
              </w:rPr>
              <w:t>Total stockholders’ equity</w:t>
            </w:r>
          </w:p>
        </w:tc>
        <w:tc>
          <w:tcPr>
            <w:tcW w:w="340" w:type="dxa"/>
            <w:vAlign w:val="bottom"/>
            <w:shd w:val="clear" w:color="auto" w:fill="CCEDFF"/>
          </w:tcPr>
          <w:p>
            <w:pPr>
              <w:jc w:val="right"/>
              <w:ind w:right="159"/>
              <w:spacing w:after="0" w:line="183" w:lineRule="exact"/>
              <w:rPr>
                <w:sz w:val="20"/>
                <w:szCs w:val="20"/>
                <w:color w:val="auto"/>
              </w:rPr>
            </w:pPr>
            <w:r>
              <w:rPr>
                <w:rFonts w:ascii="Arial" w:cs="Arial" w:eastAsia="Arial" w:hAnsi="Arial"/>
                <w:sz w:val="16"/>
                <w:szCs w:val="16"/>
                <w:b w:val="1"/>
                <w:bCs w:val="1"/>
                <w:color w:val="auto"/>
                <w:w w:val="89"/>
              </w:rPr>
              <w:t>$</w:t>
            </w:r>
          </w:p>
        </w:tc>
        <w:tc>
          <w:tcPr>
            <w:tcW w:w="170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1,030,905</w:t>
            </w:r>
          </w:p>
        </w:tc>
        <w:tc>
          <w:tcPr>
            <w:tcW w:w="44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7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1,057,699</w:t>
            </w:r>
          </w:p>
        </w:tc>
      </w:tr>
      <w:tr>
        <w:trPr>
          <w:trHeight w:val="20"/>
        </w:trPr>
        <w:tc>
          <w:tcPr>
            <w:tcW w:w="7020" w:type="dxa"/>
            <w:vAlign w:val="bottom"/>
            <w:shd w:val="clear" w:color="auto" w:fill="CCED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183"/>
        </w:trPr>
        <w:tc>
          <w:tcPr>
            <w:tcW w:w="7020" w:type="dxa"/>
            <w:vAlign w:val="bottom"/>
          </w:tcPr>
          <w:p>
            <w:pPr>
              <w:ind w:left="260"/>
              <w:spacing w:after="0" w:line="183" w:lineRule="exact"/>
              <w:rPr>
                <w:sz w:val="20"/>
                <w:szCs w:val="20"/>
                <w:color w:val="auto"/>
              </w:rPr>
            </w:pPr>
            <w:r>
              <w:rPr>
                <w:rFonts w:ascii="Arial" w:cs="Arial" w:eastAsia="Arial" w:hAnsi="Arial"/>
                <w:sz w:val="16"/>
                <w:szCs w:val="16"/>
                <w:b w:val="1"/>
                <w:bCs w:val="1"/>
                <w:color w:val="auto"/>
              </w:rPr>
              <w:t>Total liabilities and stockholders’ equity</w:t>
            </w: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b w:val="1"/>
                <w:bCs w:val="1"/>
                <w:color w:val="auto"/>
                <w:w w:val="89"/>
              </w:rPr>
              <w:t>$</w:t>
            </w:r>
          </w:p>
        </w:tc>
        <w:tc>
          <w:tcPr>
            <w:tcW w:w="170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1,287,677</w:t>
            </w:r>
          </w:p>
        </w:tc>
        <w:tc>
          <w:tcPr>
            <w:tcW w:w="44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74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1,268,307</w:t>
            </w:r>
          </w:p>
        </w:tc>
      </w:tr>
      <w:tr>
        <w:trPr>
          <w:trHeight w:val="20"/>
        </w:trPr>
        <w:tc>
          <w:tcPr>
            <w:tcW w:w="7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-4577080</wp:posOffset>
            </wp:positionV>
            <wp:extent cx="1289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-3599815</wp:posOffset>
            </wp:positionV>
            <wp:extent cx="1289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-2356485</wp:posOffset>
            </wp:positionV>
            <wp:extent cx="1289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-1628140</wp:posOffset>
            </wp:positionV>
            <wp:extent cx="1289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-1370965</wp:posOffset>
            </wp:positionV>
            <wp:extent cx="1289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-153670</wp:posOffset>
            </wp:positionV>
            <wp:extent cx="1289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Innovex International,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Operations and Comprehensive Income</w:t>
      </w: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Three Months Ended</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0" w:type="dxa"/>
            <w:vAlign w:val="bottom"/>
            <w:vMerge w:val="restart"/>
          </w:tcPr>
          <w:p>
            <w:pPr>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14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6"/>
                <w:szCs w:val="16"/>
                <w:b w:val="1"/>
                <w:bCs w:val="1"/>
                <w:color w:val="auto"/>
              </w:rPr>
              <w:t>March 31,</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2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919"/>
              <w:spacing w:after="0" w:line="183" w:lineRule="exact"/>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9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52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Revenues</w:t>
            </w:r>
          </w:p>
        </w:tc>
        <w:tc>
          <w:tcPr>
            <w:tcW w:w="144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174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740" w:type="dxa"/>
            <w:vAlign w:val="bottom"/>
            <w:shd w:val="clear" w:color="auto" w:fill="CCEDFF"/>
          </w:tcPr>
          <w:p>
            <w:pPr>
              <w:spacing w:after="0"/>
              <w:rPr>
                <w:sz w:val="15"/>
                <w:szCs w:val="15"/>
                <w:color w:val="auto"/>
              </w:rPr>
            </w:pPr>
          </w:p>
        </w:tc>
        <w:tc>
          <w:tcPr>
            <w:tcW w:w="146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60"/>
              <w:spacing w:after="0"/>
              <w:rPr>
                <w:sz w:val="20"/>
                <w:szCs w:val="20"/>
                <w:color w:val="auto"/>
              </w:rPr>
            </w:pPr>
            <w:r>
              <w:rPr>
                <w:rFonts w:ascii="Arial" w:cs="Arial" w:eastAsia="Arial" w:hAnsi="Arial"/>
                <w:sz w:val="16"/>
                <w:szCs w:val="16"/>
                <w:color w:val="auto"/>
              </w:rPr>
              <w:t>Products</w:t>
            </w:r>
          </w:p>
        </w:tc>
        <w:tc>
          <w:tcPr>
            <w:tcW w:w="19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162,895</w:t>
            </w:r>
          </w:p>
        </w:tc>
        <w:tc>
          <w:tcPr>
            <w:tcW w:w="9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167,350</w:t>
            </w:r>
          </w:p>
        </w:tc>
        <w:tc>
          <w:tcPr>
            <w:tcW w:w="0" w:type="dxa"/>
            <w:vAlign w:val="bottom"/>
          </w:tcPr>
          <w:p>
            <w:pPr>
              <w:spacing w:after="0"/>
              <w:rPr>
                <w:sz w:val="1"/>
                <w:szCs w:val="1"/>
                <w:color w:val="auto"/>
              </w:rPr>
            </w:pPr>
          </w:p>
        </w:tc>
      </w:tr>
      <w:tr>
        <w:trPr>
          <w:trHeight w:val="189"/>
        </w:trPr>
        <w:tc>
          <w:tcPr>
            <w:tcW w:w="5200" w:type="dxa"/>
            <w:vAlign w:val="bottom"/>
            <w:shd w:val="clear" w:color="auto" w:fill="CCEDFF"/>
          </w:tcPr>
          <w:p>
            <w:pPr>
              <w:ind w:left="60"/>
              <w:spacing w:after="0"/>
              <w:rPr>
                <w:sz w:val="20"/>
                <w:szCs w:val="20"/>
                <w:color w:val="auto"/>
              </w:rPr>
            </w:pPr>
            <w:r>
              <w:rPr>
                <w:rFonts w:ascii="Arial" w:cs="Arial" w:eastAsia="Arial" w:hAnsi="Arial"/>
                <w:sz w:val="16"/>
                <w:szCs w:val="16"/>
                <w:color w:val="auto"/>
              </w:rPr>
              <w:t>Services</w:t>
            </w:r>
          </w:p>
        </w:tc>
        <w:tc>
          <w:tcPr>
            <w:tcW w:w="144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31,141</w:t>
            </w:r>
          </w:p>
        </w:tc>
        <w:tc>
          <w:tcPr>
            <w:tcW w:w="180" w:type="dxa"/>
            <w:vAlign w:val="bottom"/>
            <w:shd w:val="clear" w:color="auto" w:fill="CCEDFF"/>
          </w:tcPr>
          <w:p>
            <w:pPr>
              <w:spacing w:after="0"/>
              <w:rPr>
                <w:sz w:val="16"/>
                <w:szCs w:val="16"/>
                <w:color w:val="auto"/>
              </w:rPr>
            </w:pPr>
          </w:p>
        </w:tc>
        <w:tc>
          <w:tcPr>
            <w:tcW w:w="74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35,061</w:t>
            </w:r>
          </w:p>
        </w:tc>
        <w:tc>
          <w:tcPr>
            <w:tcW w:w="0" w:type="dxa"/>
            <w:vAlign w:val="bottom"/>
          </w:tcPr>
          <w:p>
            <w:pPr>
              <w:spacing w:after="0"/>
              <w:rPr>
                <w:sz w:val="1"/>
                <w:szCs w:val="1"/>
                <w:color w:val="auto"/>
              </w:rPr>
            </w:pPr>
          </w:p>
        </w:tc>
      </w:tr>
      <w:tr>
        <w:trPr>
          <w:trHeight w:val="189"/>
        </w:trPr>
        <w:tc>
          <w:tcPr>
            <w:tcW w:w="5200" w:type="dxa"/>
            <w:vAlign w:val="bottom"/>
          </w:tcPr>
          <w:p>
            <w:pPr>
              <w:ind w:left="60"/>
              <w:spacing w:after="0"/>
              <w:rPr>
                <w:sz w:val="20"/>
                <w:szCs w:val="20"/>
                <w:color w:val="auto"/>
              </w:rPr>
            </w:pPr>
            <w:r>
              <w:rPr>
                <w:rFonts w:ascii="Arial" w:cs="Arial" w:eastAsia="Arial" w:hAnsi="Arial"/>
                <w:sz w:val="16"/>
                <w:szCs w:val="16"/>
                <w:color w:val="auto"/>
              </w:rPr>
              <w:t>Rental</w:t>
            </w:r>
          </w:p>
        </w:tc>
        <w:tc>
          <w:tcPr>
            <w:tcW w:w="14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44,995</w:t>
            </w:r>
          </w:p>
        </w:tc>
        <w:tc>
          <w:tcPr>
            <w:tcW w:w="1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38,004</w:t>
            </w:r>
          </w:p>
        </w:tc>
        <w:tc>
          <w:tcPr>
            <w:tcW w:w="0" w:type="dxa"/>
            <w:vAlign w:val="bottom"/>
          </w:tcPr>
          <w:p>
            <w:pPr>
              <w:spacing w:after="0"/>
              <w:rPr>
                <w:sz w:val="1"/>
                <w:szCs w:val="1"/>
                <w:color w:val="auto"/>
              </w:rPr>
            </w:pPr>
          </w:p>
        </w:tc>
      </w:tr>
      <w:tr>
        <w:trPr>
          <w:trHeight w:val="183"/>
        </w:trPr>
        <w:tc>
          <w:tcPr>
            <w:tcW w:w="520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color w:val="auto"/>
              </w:rPr>
              <w:t>Total revenues</w:t>
            </w:r>
          </w:p>
        </w:tc>
        <w:tc>
          <w:tcPr>
            <w:tcW w:w="144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17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239,031</w:t>
            </w:r>
          </w:p>
        </w:tc>
        <w:tc>
          <w:tcPr>
            <w:tcW w:w="180" w:type="dxa"/>
            <w:vAlign w:val="bottom"/>
            <w:shd w:val="clear" w:color="auto" w:fill="CCEDFF"/>
          </w:tcPr>
          <w:p>
            <w:pPr>
              <w:spacing w:after="0"/>
              <w:rPr>
                <w:sz w:val="15"/>
                <w:szCs w:val="15"/>
                <w:color w:val="auto"/>
              </w:rPr>
            </w:pPr>
          </w:p>
        </w:tc>
        <w:tc>
          <w:tcPr>
            <w:tcW w:w="740" w:type="dxa"/>
            <w:vAlign w:val="bottom"/>
            <w:shd w:val="clear" w:color="auto" w:fill="CCEDFF"/>
          </w:tcPr>
          <w:p>
            <w:pPr>
              <w:spacing w:after="0"/>
              <w:rPr>
                <w:sz w:val="15"/>
                <w:szCs w:val="15"/>
                <w:color w:val="auto"/>
              </w:rPr>
            </w:pPr>
          </w:p>
        </w:tc>
        <w:tc>
          <w:tcPr>
            <w:tcW w:w="14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240,415</w:t>
            </w: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Arial" w:cs="Arial" w:eastAsia="Arial" w:hAnsi="Arial"/>
                <w:sz w:val="16"/>
                <w:szCs w:val="16"/>
                <w:color w:val="auto"/>
              </w:rPr>
              <w:t>Cost of revenues</w:t>
            </w:r>
            <w:r>
              <w:rPr>
                <w:rFonts w:ascii="Arial" w:cs="Arial" w:eastAsia="Arial" w:hAnsi="Arial"/>
                <w:sz w:val="21"/>
                <w:szCs w:val="21"/>
                <w:color w:val="auto"/>
                <w:vertAlign w:val="superscript"/>
              </w:rPr>
              <w:t>(a)</w:t>
            </w: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DFF"/>
          </w:tcPr>
          <w:p>
            <w:pPr>
              <w:ind w:left="60"/>
              <w:spacing w:after="0"/>
              <w:rPr>
                <w:sz w:val="20"/>
                <w:szCs w:val="20"/>
                <w:color w:val="auto"/>
              </w:rPr>
            </w:pPr>
            <w:r>
              <w:rPr>
                <w:rFonts w:ascii="Arial" w:cs="Arial" w:eastAsia="Arial" w:hAnsi="Arial"/>
                <w:sz w:val="16"/>
                <w:szCs w:val="16"/>
                <w:color w:val="auto"/>
              </w:rPr>
              <w:t>Products</w:t>
            </w:r>
          </w:p>
        </w:tc>
        <w:tc>
          <w:tcPr>
            <w:tcW w:w="144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123,252</w:t>
            </w:r>
          </w:p>
        </w:tc>
        <w:tc>
          <w:tcPr>
            <w:tcW w:w="180" w:type="dxa"/>
            <w:vAlign w:val="bottom"/>
            <w:shd w:val="clear" w:color="auto" w:fill="CCEDFF"/>
          </w:tcPr>
          <w:p>
            <w:pPr>
              <w:spacing w:after="0"/>
              <w:rPr>
                <w:sz w:val="16"/>
                <w:szCs w:val="16"/>
                <w:color w:val="auto"/>
              </w:rPr>
            </w:pPr>
          </w:p>
        </w:tc>
        <w:tc>
          <w:tcPr>
            <w:tcW w:w="74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119,695</w:t>
            </w:r>
          </w:p>
        </w:tc>
        <w:tc>
          <w:tcPr>
            <w:tcW w:w="0" w:type="dxa"/>
            <w:vAlign w:val="bottom"/>
          </w:tcPr>
          <w:p>
            <w:pPr>
              <w:spacing w:after="0"/>
              <w:rPr>
                <w:sz w:val="1"/>
                <w:szCs w:val="1"/>
                <w:color w:val="auto"/>
              </w:rPr>
            </w:pPr>
          </w:p>
        </w:tc>
      </w:tr>
      <w:tr>
        <w:trPr>
          <w:trHeight w:val="189"/>
        </w:trPr>
        <w:tc>
          <w:tcPr>
            <w:tcW w:w="5200" w:type="dxa"/>
            <w:vAlign w:val="bottom"/>
          </w:tcPr>
          <w:p>
            <w:pPr>
              <w:ind w:left="60"/>
              <w:spacing w:after="0"/>
              <w:rPr>
                <w:sz w:val="20"/>
                <w:szCs w:val="20"/>
                <w:color w:val="auto"/>
              </w:rPr>
            </w:pPr>
            <w:r>
              <w:rPr>
                <w:rFonts w:ascii="Arial" w:cs="Arial" w:eastAsia="Arial" w:hAnsi="Arial"/>
                <w:sz w:val="16"/>
                <w:szCs w:val="16"/>
                <w:color w:val="auto"/>
              </w:rPr>
              <w:t>Services</w:t>
            </w: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19,177</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31,820</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DFF"/>
            </w:tcBorders>
            <w:shd w:val="clear" w:color="auto" w:fill="CCEDFF"/>
          </w:tcPr>
          <w:p>
            <w:pPr>
              <w:ind w:left="60"/>
              <w:spacing w:after="0"/>
              <w:rPr>
                <w:sz w:val="20"/>
                <w:szCs w:val="20"/>
                <w:color w:val="auto"/>
              </w:rPr>
            </w:pPr>
            <w:r>
              <w:rPr>
                <w:rFonts w:ascii="Arial" w:cs="Arial" w:eastAsia="Arial" w:hAnsi="Arial"/>
                <w:sz w:val="16"/>
                <w:szCs w:val="16"/>
                <w:color w:val="auto"/>
              </w:rPr>
              <w:t>Rental</w:t>
            </w:r>
          </w:p>
        </w:tc>
        <w:tc>
          <w:tcPr>
            <w:tcW w:w="1440" w:type="dxa"/>
            <w:vAlign w:val="bottom"/>
            <w:tcBorders>
              <w:bottom w:val="single" w:sz="8" w:color="CCEDFF"/>
            </w:tcBorders>
            <w:shd w:val="clear" w:color="auto" w:fill="CCEDFF"/>
          </w:tcPr>
          <w:p>
            <w:pPr>
              <w:spacing w:after="0"/>
              <w:rPr>
                <w:sz w:val="16"/>
                <w:szCs w:val="16"/>
                <w:color w:val="auto"/>
              </w:rPr>
            </w:pPr>
          </w:p>
        </w:tc>
        <w:tc>
          <w:tcPr>
            <w:tcW w:w="480" w:type="dxa"/>
            <w:vAlign w:val="bottom"/>
            <w:tcBorders>
              <w:bottom w:val="single" w:sz="8" w:color="auto"/>
            </w:tcBorders>
            <w:shd w:val="clear" w:color="auto" w:fill="CCEDFF"/>
          </w:tcPr>
          <w:p>
            <w:pPr>
              <w:spacing w:after="0"/>
              <w:rPr>
                <w:sz w:val="16"/>
                <w:szCs w:val="16"/>
                <w:color w:val="auto"/>
              </w:rPr>
            </w:pPr>
          </w:p>
        </w:tc>
        <w:tc>
          <w:tcPr>
            <w:tcW w:w="17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12,093</w:t>
            </w:r>
          </w:p>
        </w:tc>
        <w:tc>
          <w:tcPr>
            <w:tcW w:w="180" w:type="dxa"/>
            <w:vAlign w:val="bottom"/>
            <w:tcBorders>
              <w:bottom w:val="single" w:sz="8" w:color="CCEDFF"/>
            </w:tcBorders>
            <w:shd w:val="clear" w:color="auto" w:fill="CCEDFF"/>
          </w:tcPr>
          <w:p>
            <w:pPr>
              <w:spacing w:after="0"/>
              <w:rPr>
                <w:sz w:val="16"/>
                <w:szCs w:val="16"/>
                <w:color w:val="auto"/>
              </w:rPr>
            </w:pPr>
          </w:p>
        </w:tc>
        <w:tc>
          <w:tcPr>
            <w:tcW w:w="74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12,396</w:t>
            </w:r>
          </w:p>
        </w:tc>
        <w:tc>
          <w:tcPr>
            <w:tcW w:w="0" w:type="dxa"/>
            <w:vAlign w:val="bottom"/>
          </w:tcPr>
          <w:p>
            <w:pPr>
              <w:spacing w:after="0"/>
              <w:rPr>
                <w:sz w:val="1"/>
                <w:szCs w:val="1"/>
                <w:color w:val="auto"/>
              </w:rPr>
            </w:pPr>
          </w:p>
        </w:tc>
      </w:tr>
      <w:tr>
        <w:trPr>
          <w:trHeight w:val="183"/>
        </w:trPr>
        <w:tc>
          <w:tcPr>
            <w:tcW w:w="5200" w:type="dxa"/>
            <w:vAlign w:val="bottom"/>
          </w:tcPr>
          <w:p>
            <w:pPr>
              <w:ind w:left="120"/>
              <w:spacing w:after="0" w:line="183" w:lineRule="exact"/>
              <w:rPr>
                <w:sz w:val="20"/>
                <w:szCs w:val="20"/>
                <w:color w:val="auto"/>
              </w:rPr>
            </w:pPr>
            <w:r>
              <w:rPr>
                <w:rFonts w:ascii="Arial" w:cs="Arial" w:eastAsia="Arial" w:hAnsi="Arial"/>
                <w:sz w:val="16"/>
                <w:szCs w:val="16"/>
                <w:color w:val="auto"/>
              </w:rPr>
              <w:t>Total cost of revenues</w:t>
            </w: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154,522</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163,911</w:t>
            </w:r>
          </w:p>
        </w:tc>
        <w:tc>
          <w:tcPr>
            <w:tcW w:w="0" w:type="dxa"/>
            <w:vAlign w:val="bottom"/>
          </w:tcPr>
          <w:p>
            <w:pPr>
              <w:spacing w:after="0"/>
              <w:rPr>
                <w:sz w:val="1"/>
                <w:szCs w:val="1"/>
                <w:color w:val="auto"/>
              </w:rPr>
            </w:pPr>
          </w:p>
        </w:tc>
      </w:tr>
      <w:tr>
        <w:trPr>
          <w:trHeight w:val="189"/>
        </w:trPr>
        <w:tc>
          <w:tcPr>
            <w:tcW w:w="5200" w:type="dxa"/>
            <w:vAlign w:val="bottom"/>
            <w:shd w:val="clear" w:color="auto" w:fill="CCEDFF"/>
          </w:tcPr>
          <w:p>
            <w:pPr>
              <w:spacing w:after="0"/>
              <w:rPr>
                <w:sz w:val="20"/>
                <w:szCs w:val="20"/>
                <w:color w:val="auto"/>
              </w:rPr>
            </w:pPr>
            <w:r>
              <w:rPr>
                <w:rFonts w:ascii="Arial" w:cs="Arial" w:eastAsia="Arial" w:hAnsi="Arial"/>
                <w:sz w:val="16"/>
                <w:szCs w:val="16"/>
                <w:color w:val="auto"/>
              </w:rPr>
              <w:t>Selling, general and administrative expenses</w:t>
            </w:r>
          </w:p>
        </w:tc>
        <w:tc>
          <w:tcPr>
            <w:tcW w:w="144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41,748</w:t>
            </w:r>
          </w:p>
        </w:tc>
        <w:tc>
          <w:tcPr>
            <w:tcW w:w="180" w:type="dxa"/>
            <w:vAlign w:val="bottom"/>
            <w:shd w:val="clear" w:color="auto" w:fill="CCEDFF"/>
          </w:tcPr>
          <w:p>
            <w:pPr>
              <w:spacing w:after="0"/>
              <w:rPr>
                <w:sz w:val="16"/>
                <w:szCs w:val="16"/>
                <w:color w:val="auto"/>
              </w:rPr>
            </w:pPr>
          </w:p>
        </w:tc>
        <w:tc>
          <w:tcPr>
            <w:tcW w:w="74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32,349</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(Gain) loss on sale of assets</w:t>
            </w: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5200" w:type="dxa"/>
            <w:vAlign w:val="bottom"/>
            <w:shd w:val="clear" w:color="auto" w:fill="CCEDFF"/>
          </w:tcPr>
          <w:p>
            <w:pPr>
              <w:spacing w:after="0"/>
              <w:rPr>
                <w:sz w:val="20"/>
                <w:szCs w:val="20"/>
                <w:color w:val="auto"/>
              </w:rPr>
            </w:pPr>
            <w:r>
              <w:rPr>
                <w:rFonts w:ascii="Arial" w:cs="Arial" w:eastAsia="Arial" w:hAnsi="Arial"/>
                <w:sz w:val="16"/>
                <w:szCs w:val="16"/>
                <w:color w:val="auto"/>
              </w:rPr>
              <w:t>Depreciation and amortization</w:t>
            </w:r>
          </w:p>
        </w:tc>
        <w:tc>
          <w:tcPr>
            <w:tcW w:w="144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16,222</w:t>
            </w:r>
          </w:p>
        </w:tc>
        <w:tc>
          <w:tcPr>
            <w:tcW w:w="180" w:type="dxa"/>
            <w:vAlign w:val="bottom"/>
            <w:shd w:val="clear" w:color="auto" w:fill="CCEDFF"/>
          </w:tcPr>
          <w:p>
            <w:pPr>
              <w:spacing w:after="0"/>
              <w:rPr>
                <w:sz w:val="16"/>
                <w:szCs w:val="16"/>
                <w:color w:val="auto"/>
              </w:rPr>
            </w:pPr>
          </w:p>
        </w:tc>
        <w:tc>
          <w:tcPr>
            <w:tcW w:w="74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14,945</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Impairment of long-lived assets</w:t>
            </w: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2,924</w:t>
            </w:r>
          </w:p>
        </w:tc>
        <w:tc>
          <w:tcPr>
            <w:tcW w:w="0" w:type="dxa"/>
            <w:vAlign w:val="bottom"/>
          </w:tcPr>
          <w:p>
            <w:pPr>
              <w:spacing w:after="0"/>
              <w:rPr>
                <w:sz w:val="1"/>
                <w:szCs w:val="1"/>
                <w:color w:val="auto"/>
              </w:rPr>
            </w:pPr>
          </w:p>
        </w:tc>
      </w:tr>
      <w:tr>
        <w:trPr>
          <w:trHeight w:val="189"/>
        </w:trPr>
        <w:tc>
          <w:tcPr>
            <w:tcW w:w="5200" w:type="dxa"/>
            <w:vAlign w:val="bottom"/>
            <w:shd w:val="clear" w:color="auto" w:fill="CCEDFF"/>
          </w:tcPr>
          <w:p>
            <w:pPr>
              <w:spacing w:after="0"/>
              <w:rPr>
                <w:sz w:val="20"/>
                <w:szCs w:val="20"/>
                <w:color w:val="auto"/>
              </w:rPr>
            </w:pPr>
            <w:r>
              <w:rPr>
                <w:rFonts w:ascii="Arial" w:cs="Arial" w:eastAsia="Arial" w:hAnsi="Arial"/>
                <w:sz w:val="16"/>
                <w:szCs w:val="16"/>
                <w:color w:val="auto"/>
              </w:rPr>
              <w:t>Acquisition and integration costs</w:t>
            </w:r>
          </w:p>
        </w:tc>
        <w:tc>
          <w:tcPr>
            <w:tcW w:w="144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1,588</w:t>
            </w:r>
          </w:p>
        </w:tc>
        <w:tc>
          <w:tcPr>
            <w:tcW w:w="180" w:type="dxa"/>
            <w:vAlign w:val="bottom"/>
            <w:shd w:val="clear" w:color="auto" w:fill="CCEDFF"/>
          </w:tcPr>
          <w:p>
            <w:pPr>
              <w:spacing w:after="0"/>
              <w:rPr>
                <w:sz w:val="16"/>
                <w:szCs w:val="16"/>
                <w:color w:val="auto"/>
              </w:rPr>
            </w:pPr>
          </w:p>
        </w:tc>
        <w:tc>
          <w:tcPr>
            <w:tcW w:w="74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4,288</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Provision for legal settlement</w:t>
            </w:r>
          </w:p>
        </w:tc>
        <w:tc>
          <w:tcPr>
            <w:tcW w:w="14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48,803</w:t>
            </w:r>
          </w:p>
        </w:tc>
        <w:tc>
          <w:tcPr>
            <w:tcW w:w="1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200" w:type="dxa"/>
            <w:vAlign w:val="bottom"/>
            <w:shd w:val="clear" w:color="auto" w:fill="CCEDFF"/>
          </w:tcPr>
          <w:p>
            <w:pPr>
              <w:ind w:left="120"/>
              <w:spacing w:after="0" w:line="183" w:lineRule="exact"/>
              <w:rPr>
                <w:sz w:val="20"/>
                <w:szCs w:val="20"/>
                <w:color w:val="auto"/>
              </w:rPr>
            </w:pPr>
            <w:r>
              <w:rPr>
                <w:rFonts w:ascii="Arial" w:cs="Arial" w:eastAsia="Arial" w:hAnsi="Arial"/>
                <w:sz w:val="16"/>
                <w:szCs w:val="16"/>
                <w:color w:val="auto"/>
              </w:rPr>
              <w:t>Income (loss) from operations</w:t>
            </w:r>
          </w:p>
        </w:tc>
        <w:tc>
          <w:tcPr>
            <w:tcW w:w="144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174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(21,832)</w:t>
            </w:r>
          </w:p>
        </w:tc>
        <w:tc>
          <w:tcPr>
            <w:tcW w:w="180" w:type="dxa"/>
            <w:vAlign w:val="bottom"/>
            <w:shd w:val="clear" w:color="auto" w:fill="CCEDFF"/>
          </w:tcPr>
          <w:p>
            <w:pPr>
              <w:spacing w:after="0"/>
              <w:rPr>
                <w:sz w:val="15"/>
                <w:szCs w:val="15"/>
                <w:color w:val="auto"/>
              </w:rPr>
            </w:pPr>
          </w:p>
        </w:tc>
        <w:tc>
          <w:tcPr>
            <w:tcW w:w="740" w:type="dxa"/>
            <w:vAlign w:val="bottom"/>
            <w:shd w:val="clear" w:color="auto" w:fill="CCEDFF"/>
          </w:tcPr>
          <w:p>
            <w:pPr>
              <w:spacing w:after="0"/>
              <w:rPr>
                <w:sz w:val="15"/>
                <w:szCs w:val="15"/>
                <w:color w:val="auto"/>
              </w:rPr>
            </w:pPr>
          </w:p>
        </w:tc>
        <w:tc>
          <w:tcPr>
            <w:tcW w:w="14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21,850</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Interest (income) expense, net</w:t>
            </w: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(388)</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189"/>
        </w:trPr>
        <w:tc>
          <w:tcPr>
            <w:tcW w:w="5200" w:type="dxa"/>
            <w:vAlign w:val="bottom"/>
            <w:shd w:val="clear" w:color="auto" w:fill="CCEDFF"/>
          </w:tcPr>
          <w:p>
            <w:pPr>
              <w:spacing w:after="0"/>
              <w:rPr>
                <w:sz w:val="20"/>
                <w:szCs w:val="20"/>
                <w:color w:val="auto"/>
              </w:rPr>
            </w:pPr>
            <w:r>
              <w:rPr>
                <w:rFonts w:ascii="Arial" w:cs="Arial" w:eastAsia="Arial" w:hAnsi="Arial"/>
                <w:sz w:val="16"/>
                <w:szCs w:val="16"/>
                <w:color w:val="auto"/>
              </w:rPr>
              <w:t>Other (income) expense, net</w:t>
            </w:r>
          </w:p>
        </w:tc>
        <w:tc>
          <w:tcPr>
            <w:tcW w:w="1440" w:type="dxa"/>
            <w:vAlign w:val="bottom"/>
            <w:shd w:val="clear" w:color="auto" w:fill="CCEDFF"/>
          </w:tcPr>
          <w:p>
            <w:pPr>
              <w:spacing w:after="0"/>
              <w:rPr>
                <w:sz w:val="16"/>
                <w:szCs w:val="16"/>
                <w:color w:val="auto"/>
              </w:rPr>
            </w:pPr>
          </w:p>
        </w:tc>
        <w:tc>
          <w:tcPr>
            <w:tcW w:w="480" w:type="dxa"/>
            <w:vAlign w:val="bottom"/>
            <w:tcBorders>
              <w:bottom w:val="single" w:sz="8" w:color="auto"/>
            </w:tcBorders>
            <w:shd w:val="clear" w:color="auto" w:fill="CCEDFF"/>
          </w:tcPr>
          <w:p>
            <w:pPr>
              <w:spacing w:after="0"/>
              <w:rPr>
                <w:sz w:val="16"/>
                <w:szCs w:val="16"/>
                <w:color w:val="auto"/>
              </w:rPr>
            </w:pPr>
          </w:p>
        </w:tc>
        <w:tc>
          <w:tcPr>
            <w:tcW w:w="17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150</w:t>
            </w:r>
          </w:p>
        </w:tc>
        <w:tc>
          <w:tcPr>
            <w:tcW w:w="180" w:type="dxa"/>
            <w:vAlign w:val="bottom"/>
            <w:shd w:val="clear" w:color="auto" w:fill="CCEDFF"/>
          </w:tcPr>
          <w:p>
            <w:pPr>
              <w:spacing w:after="0"/>
              <w:rPr>
                <w:sz w:val="16"/>
                <w:szCs w:val="16"/>
                <w:color w:val="auto"/>
              </w:rPr>
            </w:pPr>
          </w:p>
        </w:tc>
        <w:tc>
          <w:tcPr>
            <w:tcW w:w="74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83"/>
        </w:trPr>
        <w:tc>
          <w:tcPr>
            <w:tcW w:w="5200" w:type="dxa"/>
            <w:vAlign w:val="bottom"/>
          </w:tcPr>
          <w:p>
            <w:pPr>
              <w:ind w:left="120"/>
              <w:spacing w:after="0" w:line="183" w:lineRule="exact"/>
              <w:rPr>
                <w:sz w:val="20"/>
                <w:szCs w:val="20"/>
                <w:color w:val="auto"/>
              </w:rPr>
            </w:pPr>
            <w:r>
              <w:rPr>
                <w:rFonts w:ascii="Arial" w:cs="Arial" w:eastAsia="Arial" w:hAnsi="Arial"/>
                <w:sz w:val="16"/>
                <w:szCs w:val="16"/>
                <w:color w:val="auto"/>
              </w:rPr>
              <w:t>Income (loss) before income taxes</w:t>
            </w:r>
          </w:p>
        </w:tc>
        <w:tc>
          <w:tcPr>
            <w:tcW w:w="1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tcPr>
          <w:p>
            <w:pPr>
              <w:jc w:val="right"/>
              <w:spacing w:after="0" w:line="183" w:lineRule="exact"/>
              <w:rPr>
                <w:sz w:val="20"/>
                <w:szCs w:val="20"/>
                <w:color w:val="auto"/>
              </w:rPr>
            </w:pPr>
            <w:r>
              <w:rPr>
                <w:rFonts w:ascii="Arial" w:cs="Arial" w:eastAsia="Arial" w:hAnsi="Arial"/>
                <w:sz w:val="16"/>
                <w:szCs w:val="16"/>
                <w:color w:val="auto"/>
              </w:rPr>
              <w:t>(21,594)</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21,364</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Income tax expense (benefit), net</w:t>
            </w:r>
          </w:p>
        </w:tc>
        <w:tc>
          <w:tcPr>
            <w:tcW w:w="1440" w:type="dxa"/>
            <w:vAlign w:val="bottom"/>
            <w:tcBorders>
              <w:bottom w:val="single" w:sz="8" w:color="CCEDFF"/>
            </w:tcBorders>
            <w:shd w:val="clear" w:color="auto" w:fill="CCEDFF"/>
          </w:tcPr>
          <w:p>
            <w:pPr>
              <w:spacing w:after="0"/>
              <w:rPr>
                <w:sz w:val="16"/>
                <w:szCs w:val="16"/>
                <w:color w:val="auto"/>
              </w:rPr>
            </w:pPr>
          </w:p>
        </w:tc>
        <w:tc>
          <w:tcPr>
            <w:tcW w:w="480" w:type="dxa"/>
            <w:vAlign w:val="bottom"/>
            <w:tcBorders>
              <w:bottom w:val="single" w:sz="8" w:color="auto"/>
            </w:tcBorders>
            <w:shd w:val="clear" w:color="auto" w:fill="CCEDFF"/>
          </w:tcPr>
          <w:p>
            <w:pPr>
              <w:spacing w:after="0"/>
              <w:rPr>
                <w:sz w:val="16"/>
                <w:szCs w:val="16"/>
                <w:color w:val="auto"/>
              </w:rPr>
            </w:pPr>
          </w:p>
        </w:tc>
        <w:tc>
          <w:tcPr>
            <w:tcW w:w="17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(4,923)</w:t>
            </w:r>
          </w:p>
        </w:tc>
        <w:tc>
          <w:tcPr>
            <w:tcW w:w="180" w:type="dxa"/>
            <w:vAlign w:val="bottom"/>
            <w:tcBorders>
              <w:bottom w:val="single" w:sz="8" w:color="CCEDFF"/>
            </w:tcBorders>
            <w:shd w:val="clear" w:color="auto" w:fill="CCEDFF"/>
          </w:tcPr>
          <w:p>
            <w:pPr>
              <w:spacing w:after="0"/>
              <w:rPr>
                <w:sz w:val="16"/>
                <w:szCs w:val="16"/>
                <w:color w:val="auto"/>
              </w:rPr>
            </w:pPr>
          </w:p>
        </w:tc>
        <w:tc>
          <w:tcPr>
            <w:tcW w:w="74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6,607</w:t>
            </w:r>
          </w:p>
        </w:tc>
        <w:tc>
          <w:tcPr>
            <w:tcW w:w="0" w:type="dxa"/>
            <w:vAlign w:val="bottom"/>
          </w:tcPr>
          <w:p>
            <w:pPr>
              <w:spacing w:after="0"/>
              <w:rPr>
                <w:sz w:val="1"/>
                <w:szCs w:val="1"/>
                <w:color w:val="auto"/>
              </w:rPr>
            </w:pPr>
          </w:p>
        </w:tc>
      </w:tr>
      <w:tr>
        <w:trPr>
          <w:trHeight w:val="183"/>
        </w:trPr>
        <w:tc>
          <w:tcPr>
            <w:tcW w:w="5200" w:type="dxa"/>
            <w:vAlign w:val="bottom"/>
          </w:tcPr>
          <w:p>
            <w:pPr>
              <w:spacing w:after="0" w:line="183" w:lineRule="exact"/>
              <w:rPr>
                <w:sz w:val="20"/>
                <w:szCs w:val="20"/>
                <w:color w:val="auto"/>
              </w:rPr>
            </w:pPr>
            <w:r>
              <w:rPr>
                <w:rFonts w:ascii="Arial" w:cs="Arial" w:eastAsia="Arial" w:hAnsi="Arial"/>
                <w:sz w:val="16"/>
                <w:szCs w:val="16"/>
                <w:b w:val="1"/>
                <w:bCs w:val="1"/>
                <w:color w:val="auto"/>
              </w:rPr>
              <w:t>Net income (loss)</w:t>
            </w:r>
          </w:p>
        </w:tc>
        <w:tc>
          <w:tcPr>
            <w:tcW w:w="14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(16,671)</w:t>
            </w: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14,757</w:t>
            </w:r>
          </w:p>
        </w:tc>
        <w:tc>
          <w:tcPr>
            <w:tcW w:w="0" w:type="dxa"/>
            <w:vAlign w:val="bottom"/>
          </w:tcPr>
          <w:p>
            <w:pPr>
              <w:spacing w:after="0"/>
              <w:rPr>
                <w:sz w:val="1"/>
                <w:szCs w:val="1"/>
                <w:color w:val="auto"/>
              </w:rPr>
            </w:pPr>
          </w:p>
        </w:tc>
      </w:tr>
      <w:tr>
        <w:trPr>
          <w:trHeight w:val="183"/>
        </w:trPr>
        <w:tc>
          <w:tcPr>
            <w:tcW w:w="5200" w:type="dxa"/>
            <w:vAlign w:val="bottom"/>
            <w:shd w:val="clear" w:color="auto" w:fill="CCEDFF"/>
          </w:tcPr>
          <w:p>
            <w:pPr>
              <w:spacing w:after="0"/>
              <w:rPr>
                <w:sz w:val="15"/>
                <w:szCs w:val="15"/>
                <w:color w:val="auto"/>
              </w:rPr>
            </w:pPr>
          </w:p>
        </w:tc>
        <w:tc>
          <w:tcPr>
            <w:tcW w:w="144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174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740" w:type="dxa"/>
            <w:vAlign w:val="bottom"/>
            <w:shd w:val="clear" w:color="auto" w:fill="CCEDFF"/>
          </w:tcPr>
          <w:p>
            <w:pPr>
              <w:spacing w:after="0"/>
              <w:rPr>
                <w:sz w:val="15"/>
                <w:szCs w:val="15"/>
                <w:color w:val="auto"/>
              </w:rPr>
            </w:pPr>
          </w:p>
        </w:tc>
        <w:tc>
          <w:tcPr>
            <w:tcW w:w="146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b w:val="1"/>
                <w:bCs w:val="1"/>
                <w:color w:val="auto"/>
              </w:rPr>
              <w:t>Earnings (loss) per common share</w:t>
            </w: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DFF"/>
          </w:tcPr>
          <w:p>
            <w:pPr>
              <w:ind w:left="120"/>
              <w:spacing w:after="0"/>
              <w:rPr>
                <w:sz w:val="20"/>
                <w:szCs w:val="20"/>
                <w:color w:val="auto"/>
              </w:rPr>
            </w:pPr>
            <w:r>
              <w:rPr>
                <w:rFonts w:ascii="Arial" w:cs="Arial" w:eastAsia="Arial" w:hAnsi="Arial"/>
                <w:sz w:val="16"/>
                <w:szCs w:val="16"/>
                <w:color w:val="auto"/>
              </w:rPr>
              <w:t>Basic</w:t>
            </w:r>
          </w:p>
        </w:tc>
        <w:tc>
          <w:tcPr>
            <w:tcW w:w="1920" w:type="dxa"/>
            <w:vAlign w:val="bottom"/>
            <w:gridSpan w:val="2"/>
            <w:shd w:val="clear" w:color="auto" w:fill="CCEDFF"/>
          </w:tcPr>
          <w:p>
            <w:pPr>
              <w:jc w:val="right"/>
              <w:ind w:right="4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(0.24)</w:t>
            </w:r>
          </w:p>
        </w:tc>
        <w:tc>
          <w:tcPr>
            <w:tcW w:w="920" w:type="dxa"/>
            <w:vAlign w:val="bottom"/>
            <w:gridSpan w:val="2"/>
            <w:shd w:val="clear" w:color="auto" w:fill="CCEDFF"/>
          </w:tcPr>
          <w:p>
            <w:pPr>
              <w:jc w:val="right"/>
              <w:ind w:right="6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Diluted</w:t>
            </w:r>
          </w:p>
        </w:tc>
        <w:tc>
          <w:tcPr>
            <w:tcW w:w="1920" w:type="dxa"/>
            <w:vAlign w:val="bottom"/>
            <w:tcBorders>
              <w:bottom w:val="single" w:sz="8" w:color="7F7F7F"/>
            </w:tcBorders>
            <w:gridSpan w:val="2"/>
          </w:tcPr>
          <w:p>
            <w:pPr>
              <w:jc w:val="right"/>
              <w:ind w:right="40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(0.24)</w:t>
            </w:r>
          </w:p>
        </w:tc>
        <w:tc>
          <w:tcPr>
            <w:tcW w:w="920" w:type="dxa"/>
            <w:vAlign w:val="bottom"/>
            <w:tcBorders>
              <w:bottom w:val="single" w:sz="8" w:color="7F7F7F"/>
            </w:tcBorders>
            <w:gridSpan w:val="2"/>
          </w:tcPr>
          <w:p>
            <w:pPr>
              <w:jc w:val="right"/>
              <w:ind w:right="6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183"/>
        </w:trPr>
        <w:tc>
          <w:tcPr>
            <w:tcW w:w="5200" w:type="dxa"/>
            <w:vAlign w:val="bottom"/>
            <w:shd w:val="clear" w:color="auto" w:fill="CCEDFF"/>
          </w:tcPr>
          <w:p>
            <w:pPr>
              <w:spacing w:after="0"/>
              <w:rPr>
                <w:sz w:val="15"/>
                <w:szCs w:val="15"/>
                <w:color w:val="auto"/>
              </w:rPr>
            </w:pPr>
          </w:p>
        </w:tc>
        <w:tc>
          <w:tcPr>
            <w:tcW w:w="144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174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740" w:type="dxa"/>
            <w:vAlign w:val="bottom"/>
            <w:shd w:val="clear" w:color="auto" w:fill="CCEDFF"/>
          </w:tcPr>
          <w:p>
            <w:pPr>
              <w:spacing w:after="0"/>
              <w:rPr>
                <w:sz w:val="15"/>
                <w:szCs w:val="15"/>
                <w:color w:val="auto"/>
              </w:rPr>
            </w:pPr>
          </w:p>
        </w:tc>
        <w:tc>
          <w:tcPr>
            <w:tcW w:w="146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DFF"/>
          </w:tcPr>
          <w:p>
            <w:pPr>
              <w:ind w:left="120"/>
              <w:spacing w:after="0"/>
              <w:rPr>
                <w:sz w:val="20"/>
                <w:szCs w:val="20"/>
                <w:color w:val="auto"/>
              </w:rPr>
            </w:pPr>
            <w:r>
              <w:rPr>
                <w:rFonts w:ascii="Arial" w:cs="Arial" w:eastAsia="Arial" w:hAnsi="Arial"/>
                <w:sz w:val="16"/>
                <w:szCs w:val="16"/>
                <w:color w:val="auto"/>
              </w:rPr>
              <w:t>Basic</w:t>
            </w:r>
          </w:p>
        </w:tc>
        <w:tc>
          <w:tcPr>
            <w:tcW w:w="144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68,940,260</w:t>
            </w:r>
          </w:p>
        </w:tc>
        <w:tc>
          <w:tcPr>
            <w:tcW w:w="180" w:type="dxa"/>
            <w:vAlign w:val="bottom"/>
            <w:shd w:val="clear" w:color="auto" w:fill="CCEDFF"/>
          </w:tcPr>
          <w:p>
            <w:pPr>
              <w:spacing w:after="0"/>
              <w:rPr>
                <w:sz w:val="16"/>
                <w:szCs w:val="16"/>
                <w:color w:val="auto"/>
              </w:rPr>
            </w:pPr>
          </w:p>
        </w:tc>
        <w:tc>
          <w:tcPr>
            <w:tcW w:w="74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69,290,100</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Diluted</w:t>
            </w:r>
          </w:p>
        </w:tc>
        <w:tc>
          <w:tcPr>
            <w:tcW w:w="1440" w:type="dxa"/>
            <w:vAlign w:val="bottom"/>
            <w:tcBorders>
              <w:bottom w:val="single" w:sz="8" w:color="7F7F7F"/>
            </w:tcBorders>
          </w:tcPr>
          <w:p>
            <w:pPr>
              <w:spacing w:after="0"/>
              <w:rPr>
                <w:sz w:val="16"/>
                <w:szCs w:val="16"/>
                <w:color w:val="auto"/>
              </w:rPr>
            </w:pPr>
          </w:p>
        </w:tc>
        <w:tc>
          <w:tcPr>
            <w:tcW w:w="480" w:type="dxa"/>
            <w:vAlign w:val="bottom"/>
            <w:tcBorders>
              <w:bottom w:val="single" w:sz="8" w:color="7F7F7F"/>
            </w:tcBorders>
          </w:tcPr>
          <w:p>
            <w:pPr>
              <w:spacing w:after="0"/>
              <w:rPr>
                <w:sz w:val="16"/>
                <w:szCs w:val="16"/>
                <w:color w:val="auto"/>
              </w:rPr>
            </w:pPr>
          </w:p>
        </w:tc>
        <w:tc>
          <w:tcPr>
            <w:tcW w:w="17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68,940,260</w:t>
            </w:r>
          </w:p>
        </w:tc>
        <w:tc>
          <w:tcPr>
            <w:tcW w:w="180" w:type="dxa"/>
            <w:vAlign w:val="bottom"/>
            <w:tcBorders>
              <w:bottom w:val="single" w:sz="8" w:color="7F7F7F"/>
            </w:tcBorders>
          </w:tcPr>
          <w:p>
            <w:pPr>
              <w:spacing w:after="0"/>
              <w:rPr>
                <w:sz w:val="16"/>
                <w:szCs w:val="16"/>
                <w:color w:val="auto"/>
              </w:rPr>
            </w:pPr>
          </w:p>
        </w:tc>
        <w:tc>
          <w:tcPr>
            <w:tcW w:w="740" w:type="dxa"/>
            <w:vAlign w:val="bottom"/>
            <w:tcBorders>
              <w:bottom w:val="single" w:sz="8" w:color="7F7F7F"/>
            </w:tcBorders>
          </w:tcPr>
          <w:p>
            <w:pPr>
              <w:spacing w:after="0"/>
              <w:rPr>
                <w:sz w:val="16"/>
                <w:szCs w:val="16"/>
                <w:color w:val="auto"/>
              </w:rPr>
            </w:pPr>
          </w:p>
        </w:tc>
        <w:tc>
          <w:tcPr>
            <w:tcW w:w="146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69,477,519</w:t>
            </w:r>
          </w:p>
        </w:tc>
        <w:tc>
          <w:tcPr>
            <w:tcW w:w="0" w:type="dxa"/>
            <w:vAlign w:val="bottom"/>
          </w:tcPr>
          <w:p>
            <w:pPr>
              <w:spacing w:after="0"/>
              <w:rPr>
                <w:sz w:val="1"/>
                <w:szCs w:val="1"/>
                <w:color w:val="auto"/>
              </w:rPr>
            </w:pPr>
          </w:p>
        </w:tc>
      </w:tr>
      <w:tr>
        <w:trPr>
          <w:trHeight w:val="183"/>
        </w:trPr>
        <w:tc>
          <w:tcPr>
            <w:tcW w:w="5200" w:type="dxa"/>
            <w:vAlign w:val="bottom"/>
            <w:shd w:val="clear" w:color="auto" w:fill="CCEDFF"/>
          </w:tcPr>
          <w:p>
            <w:pPr>
              <w:spacing w:after="0"/>
              <w:rPr>
                <w:sz w:val="15"/>
                <w:szCs w:val="15"/>
                <w:color w:val="auto"/>
              </w:rPr>
            </w:pPr>
          </w:p>
        </w:tc>
        <w:tc>
          <w:tcPr>
            <w:tcW w:w="144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174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740" w:type="dxa"/>
            <w:vAlign w:val="bottom"/>
            <w:shd w:val="clear" w:color="auto" w:fill="CCEDFF"/>
          </w:tcPr>
          <w:p>
            <w:pPr>
              <w:spacing w:after="0"/>
              <w:rPr>
                <w:sz w:val="15"/>
                <w:szCs w:val="15"/>
                <w:color w:val="auto"/>
              </w:rPr>
            </w:pPr>
          </w:p>
        </w:tc>
        <w:tc>
          <w:tcPr>
            <w:tcW w:w="146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b w:val="1"/>
                <w:bCs w:val="1"/>
                <w:color w:val="auto"/>
              </w:rPr>
              <w:t>Other comprehensive income (loss)</w:t>
            </w: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DFF"/>
          </w:tcPr>
          <w:p>
            <w:pPr>
              <w:ind w:left="120"/>
              <w:spacing w:after="0"/>
              <w:rPr>
                <w:sz w:val="20"/>
                <w:szCs w:val="20"/>
                <w:color w:val="auto"/>
              </w:rPr>
            </w:pPr>
            <w:r>
              <w:rPr>
                <w:rFonts w:ascii="Arial" w:cs="Arial" w:eastAsia="Arial" w:hAnsi="Arial"/>
                <w:sz w:val="16"/>
                <w:szCs w:val="16"/>
                <w:color w:val="auto"/>
              </w:rPr>
              <w:t>Net income (loss)</w:t>
            </w:r>
          </w:p>
        </w:tc>
        <w:tc>
          <w:tcPr>
            <w:tcW w:w="1920" w:type="dxa"/>
            <w:vAlign w:val="bottom"/>
            <w:gridSpan w:val="2"/>
            <w:shd w:val="clear" w:color="auto" w:fill="CCEDFF"/>
          </w:tcPr>
          <w:p>
            <w:pPr>
              <w:jc w:val="right"/>
              <w:ind w:right="4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(16,671)</w:t>
            </w:r>
          </w:p>
        </w:tc>
        <w:tc>
          <w:tcPr>
            <w:tcW w:w="920" w:type="dxa"/>
            <w:vAlign w:val="bottom"/>
            <w:gridSpan w:val="2"/>
            <w:shd w:val="clear" w:color="auto" w:fill="CCEDFF"/>
          </w:tcPr>
          <w:p>
            <w:pPr>
              <w:jc w:val="right"/>
              <w:ind w:right="6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14,757</w:t>
            </w:r>
          </w:p>
        </w:tc>
        <w:tc>
          <w:tcPr>
            <w:tcW w:w="0" w:type="dxa"/>
            <w:vAlign w:val="bottom"/>
          </w:tcPr>
          <w:p>
            <w:pPr>
              <w:spacing w:after="0"/>
              <w:rPr>
                <w:sz w:val="1"/>
                <w:szCs w:val="1"/>
                <w:color w:val="auto"/>
              </w:rPr>
            </w:pPr>
          </w:p>
        </w:tc>
      </w:tr>
      <w:tr>
        <w:trPr>
          <w:trHeight w:val="189"/>
        </w:trPr>
        <w:tc>
          <w:tcPr>
            <w:tcW w:w="520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14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1,750</w:t>
            </w:r>
          </w:p>
        </w:tc>
        <w:tc>
          <w:tcPr>
            <w:tcW w:w="1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4,616</w:t>
            </w:r>
          </w:p>
        </w:tc>
        <w:tc>
          <w:tcPr>
            <w:tcW w:w="0" w:type="dxa"/>
            <w:vAlign w:val="bottom"/>
          </w:tcPr>
          <w:p>
            <w:pPr>
              <w:spacing w:after="0"/>
              <w:rPr>
                <w:sz w:val="1"/>
                <w:szCs w:val="1"/>
                <w:color w:val="auto"/>
              </w:rPr>
            </w:pPr>
          </w:p>
        </w:tc>
      </w:tr>
      <w:tr>
        <w:trPr>
          <w:trHeight w:val="203"/>
        </w:trPr>
        <w:tc>
          <w:tcPr>
            <w:tcW w:w="5200" w:type="dxa"/>
            <w:vAlign w:val="bottom"/>
            <w:shd w:val="clear" w:color="auto" w:fill="CCEDFF"/>
          </w:tcPr>
          <w:p>
            <w:pPr>
              <w:spacing w:after="0" w:line="169" w:lineRule="exact"/>
              <w:rPr>
                <w:sz w:val="20"/>
                <w:szCs w:val="20"/>
                <w:color w:val="auto"/>
              </w:rPr>
            </w:pPr>
            <w:r>
              <w:rPr>
                <w:rFonts w:ascii="Arial" w:cs="Arial" w:eastAsia="Arial" w:hAnsi="Arial"/>
                <w:sz w:val="16"/>
                <w:szCs w:val="16"/>
                <w:b w:val="1"/>
                <w:bCs w:val="1"/>
                <w:color w:val="auto"/>
              </w:rPr>
              <w:t>Comprehensive income (loss)</w:t>
            </w:r>
          </w:p>
        </w:tc>
        <w:tc>
          <w:tcPr>
            <w:tcW w:w="1920" w:type="dxa"/>
            <w:vAlign w:val="bottom"/>
            <w:gridSpan w:val="2"/>
            <w:shd w:val="clear" w:color="auto" w:fill="CCEDFF"/>
          </w:tcPr>
          <w:p>
            <w:pPr>
              <w:jc w:val="right"/>
              <w:ind w:right="400"/>
              <w:spacing w:after="0" w:line="169" w:lineRule="exact"/>
              <w:rPr>
                <w:sz w:val="20"/>
                <w:szCs w:val="20"/>
                <w:color w:val="auto"/>
              </w:rPr>
            </w:pPr>
            <w:r>
              <w:rPr>
                <w:rFonts w:ascii="Arial" w:cs="Arial" w:eastAsia="Arial" w:hAnsi="Arial"/>
                <w:sz w:val="16"/>
                <w:szCs w:val="16"/>
                <w:color w:val="auto"/>
              </w:rPr>
              <w:t>$</w:t>
            </w:r>
          </w:p>
        </w:tc>
        <w:tc>
          <w:tcPr>
            <w:tcW w:w="1740" w:type="dxa"/>
            <w:vAlign w:val="bottom"/>
            <w:shd w:val="clear" w:color="auto" w:fill="CCEDFF"/>
          </w:tcPr>
          <w:p>
            <w:pPr>
              <w:jc w:val="right"/>
              <w:spacing w:after="0" w:line="169" w:lineRule="exact"/>
              <w:rPr>
                <w:sz w:val="20"/>
                <w:szCs w:val="20"/>
                <w:color w:val="auto"/>
              </w:rPr>
            </w:pPr>
            <w:r>
              <w:rPr>
                <w:rFonts w:ascii="Arial" w:cs="Arial" w:eastAsia="Arial" w:hAnsi="Arial"/>
                <w:sz w:val="16"/>
                <w:szCs w:val="16"/>
                <w:color w:val="auto"/>
              </w:rPr>
              <w:t>(14,921)</w:t>
            </w:r>
          </w:p>
        </w:tc>
        <w:tc>
          <w:tcPr>
            <w:tcW w:w="920" w:type="dxa"/>
            <w:vAlign w:val="bottom"/>
            <w:gridSpan w:val="2"/>
            <w:shd w:val="clear" w:color="auto" w:fill="CCEDFF"/>
          </w:tcPr>
          <w:p>
            <w:pPr>
              <w:jc w:val="right"/>
              <w:ind w:right="660"/>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39"/>
              <w:spacing w:after="0" w:line="169" w:lineRule="exact"/>
              <w:rPr>
                <w:sz w:val="20"/>
                <w:szCs w:val="20"/>
                <w:color w:val="auto"/>
              </w:rPr>
            </w:pPr>
            <w:r>
              <w:rPr>
                <w:rFonts w:ascii="Arial" w:cs="Arial" w:eastAsia="Arial" w:hAnsi="Arial"/>
                <w:sz w:val="16"/>
                <w:szCs w:val="16"/>
                <w:color w:val="auto"/>
              </w:rPr>
              <w:t>19,373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DFF"/>
            </w:tcBorders>
            <w:shd w:val="clear" w:color="auto" w:fill="CCEDFF"/>
          </w:tcPr>
          <w:p>
            <w:pPr>
              <w:spacing w:after="0" w:line="20" w:lineRule="exact"/>
              <w:rPr>
                <w:sz w:val="1"/>
                <w:szCs w:val="1"/>
                <w:color w:val="auto"/>
              </w:rPr>
            </w:pPr>
          </w:p>
        </w:tc>
        <w:tc>
          <w:tcPr>
            <w:tcW w:w="1440" w:type="dxa"/>
            <w:vAlign w:val="bottom"/>
            <w:tcBorders>
              <w:top w:val="single" w:sz="8" w:color="CCEDFF"/>
            </w:tcBorders>
            <w:shd w:val="clear" w:color="auto" w:fill="CCED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DFF"/>
            </w:tcBorders>
            <w:shd w:val="clear" w:color="auto" w:fill="CCED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-3214370</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-1748155</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111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111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Cost of revenues excludes depreciation and amortization.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Innovex International,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Changes in Stockholders’ Equity</w:t>
      </w:r>
    </w:p>
    <w:p>
      <w:pPr>
        <w:jc w:val="center"/>
        <w:spacing w:after="0"/>
        <w:rPr>
          <w:sz w:val="20"/>
          <w:szCs w:val="20"/>
          <w:color w:val="auto"/>
        </w:rPr>
      </w:pPr>
      <w:r>
        <w:rPr>
          <w:rFonts w:ascii="Arial" w:cs="Arial" w:eastAsia="Arial" w:hAnsi="Arial"/>
          <w:sz w:val="17"/>
          <w:szCs w:val="17"/>
          <w:i w:val="1"/>
          <w:iCs w:val="1"/>
          <w:color w:val="auto"/>
        </w:rPr>
        <w:t>(Unaudited)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980" w:type="dxa"/>
            <w:vAlign w:val="bottom"/>
            <w:gridSpan w:val="2"/>
            <w:vMerge w:val="restart"/>
          </w:tcPr>
          <w:p>
            <w:pPr>
              <w:jc w:val="right"/>
              <w:ind w:right="333"/>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134"/>
              <w:spacing w:after="0"/>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3"/>
                <w:szCs w:val="13"/>
                <w:color w:val="auto"/>
              </w:rPr>
            </w:pPr>
          </w:p>
        </w:tc>
        <w:tc>
          <w:tcPr>
            <w:tcW w:w="106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198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14"/>
              <w:spacing w:after="0" w:line="139"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ind w:right="353"/>
              <w:spacing w:after="0" w:line="111" w:lineRule="exact"/>
              <w:rPr>
                <w:sz w:val="20"/>
                <w:szCs w:val="20"/>
                <w:color w:val="auto"/>
              </w:rPr>
            </w:pPr>
            <w:r>
              <w:rPr>
                <w:rFonts w:ascii="Arial" w:cs="Arial" w:eastAsia="Arial" w:hAnsi="Arial"/>
                <w:sz w:val="12"/>
                <w:szCs w:val="12"/>
                <w:b w:val="1"/>
                <w:bCs w:val="1"/>
                <w:color w:val="auto"/>
              </w:rPr>
              <w:t>Paid-in</w:t>
            </w:r>
          </w:p>
        </w:tc>
        <w:tc>
          <w:tcPr>
            <w:tcW w:w="200" w:type="dxa"/>
            <w:vAlign w:val="bottom"/>
          </w:tcPr>
          <w:p>
            <w:pPr>
              <w:spacing w:after="0"/>
              <w:rPr>
                <w:sz w:val="9"/>
                <w:szCs w:val="9"/>
                <w:color w:val="auto"/>
              </w:rPr>
            </w:pPr>
          </w:p>
        </w:tc>
        <w:tc>
          <w:tcPr>
            <w:tcW w:w="1000" w:type="dxa"/>
            <w:vAlign w:val="bottom"/>
          </w:tcPr>
          <w:p>
            <w:pPr>
              <w:jc w:val="right"/>
              <w:ind w:right="293"/>
              <w:spacing w:after="0" w:line="111"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9"/>
                <w:szCs w:val="9"/>
                <w:color w:val="auto"/>
              </w:rPr>
            </w:pPr>
          </w:p>
        </w:tc>
        <w:tc>
          <w:tcPr>
            <w:tcW w:w="1160" w:type="dxa"/>
            <w:vAlign w:val="bottom"/>
          </w:tcPr>
          <w:p>
            <w:pPr>
              <w:jc w:val="center"/>
              <w:ind w:right="114"/>
              <w:spacing w:after="0" w:line="111" w:lineRule="exact"/>
              <w:rPr>
                <w:sz w:val="20"/>
                <w:szCs w:val="20"/>
                <w:color w:val="auto"/>
              </w:rPr>
            </w:pPr>
            <w:r>
              <w:rPr>
                <w:rFonts w:ascii="Arial" w:cs="Arial" w:eastAsia="Arial" w:hAnsi="Arial"/>
                <w:sz w:val="12"/>
                <w:szCs w:val="12"/>
                <w:b w:val="1"/>
                <w:bCs w:val="1"/>
                <w:color w:val="auto"/>
              </w:rPr>
              <w:t>Comprehensive</w:t>
            </w:r>
          </w:p>
        </w:tc>
        <w:tc>
          <w:tcPr>
            <w:tcW w:w="100" w:type="dxa"/>
            <w:vAlign w:val="bottom"/>
          </w:tcPr>
          <w:p>
            <w:pPr>
              <w:spacing w:after="0"/>
              <w:rPr>
                <w:sz w:val="9"/>
                <w:szCs w:val="9"/>
                <w:color w:val="auto"/>
              </w:rPr>
            </w:pPr>
          </w:p>
        </w:tc>
        <w:tc>
          <w:tcPr>
            <w:tcW w:w="1060" w:type="dxa"/>
            <w:vAlign w:val="bottom"/>
          </w:tcPr>
          <w:p>
            <w:pPr>
              <w:jc w:val="center"/>
              <w:ind w:right="133"/>
              <w:spacing w:after="0" w:line="111"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53"/>
        </w:trPr>
        <w:tc>
          <w:tcPr>
            <w:tcW w:w="4040" w:type="dxa"/>
            <w:vAlign w:val="bottom"/>
          </w:tcPr>
          <w:p>
            <w:pPr>
              <w:spacing w:after="0"/>
              <w:rPr>
                <w:sz w:val="20"/>
                <w:szCs w:val="20"/>
                <w:color w:val="auto"/>
              </w:rPr>
            </w:pPr>
            <w:r>
              <w:rPr>
                <w:rFonts w:ascii="Arial" w:cs="Arial" w:eastAsia="Arial" w:hAnsi="Arial"/>
                <w:sz w:val="13"/>
                <w:szCs w:val="13"/>
                <w:i w:val="1"/>
                <w:iCs w:val="1"/>
                <w:color w:val="auto"/>
              </w:rPr>
              <w:t>(in thousands, except share amounts)</w:t>
            </w: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Shares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Capital</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7"/>
              </w:rPr>
              <w:t>Income/(Loss)</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4040" w:type="dxa"/>
            <w:vAlign w:val="bottom"/>
            <w:shd w:val="clear" w:color="auto" w:fill="CCEDFF"/>
          </w:tcPr>
          <w:p>
            <w:pPr>
              <w:spacing w:after="0" w:line="142" w:lineRule="exact"/>
              <w:rPr>
                <w:sz w:val="20"/>
                <w:szCs w:val="20"/>
                <w:color w:val="auto"/>
              </w:rPr>
            </w:pPr>
            <w:r>
              <w:rPr>
                <w:rFonts w:ascii="Arial" w:cs="Arial" w:eastAsia="Arial" w:hAnsi="Arial"/>
                <w:sz w:val="13"/>
                <w:szCs w:val="13"/>
                <w:b w:val="1"/>
                <w:bCs w:val="1"/>
                <w:color w:val="auto"/>
              </w:rPr>
              <w:t>For the three months ended March 31, 2025</w:t>
            </w:r>
          </w:p>
        </w:tc>
        <w:tc>
          <w:tcPr>
            <w:tcW w:w="1120" w:type="dxa"/>
            <w:vAlign w:val="bottom"/>
            <w:shd w:val="clear" w:color="auto" w:fill="CCEDFF"/>
          </w:tcPr>
          <w:p>
            <w:pPr>
              <w:spacing w:after="0"/>
              <w:rPr>
                <w:sz w:val="12"/>
                <w:szCs w:val="12"/>
                <w:color w:val="auto"/>
              </w:rPr>
            </w:pPr>
          </w:p>
        </w:tc>
        <w:tc>
          <w:tcPr>
            <w:tcW w:w="860" w:type="dxa"/>
            <w:vAlign w:val="bottom"/>
            <w:shd w:val="clear" w:color="auto" w:fill="CCEDFF"/>
          </w:tcPr>
          <w:p>
            <w:pPr>
              <w:spacing w:after="0"/>
              <w:rPr>
                <w:sz w:val="12"/>
                <w:szCs w:val="12"/>
                <w:color w:val="auto"/>
              </w:rPr>
            </w:pPr>
          </w:p>
        </w:tc>
        <w:tc>
          <w:tcPr>
            <w:tcW w:w="360" w:type="dxa"/>
            <w:vAlign w:val="bottom"/>
            <w:shd w:val="clear" w:color="auto" w:fill="CCEDFF"/>
          </w:tcPr>
          <w:p>
            <w:pPr>
              <w:spacing w:after="0"/>
              <w:rPr>
                <w:sz w:val="12"/>
                <w:szCs w:val="12"/>
                <w:color w:val="auto"/>
              </w:rPr>
            </w:pPr>
          </w:p>
        </w:tc>
        <w:tc>
          <w:tcPr>
            <w:tcW w:w="4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020" w:type="dxa"/>
            <w:vAlign w:val="bottom"/>
            <w:shd w:val="clear" w:color="auto" w:fill="CCEDFF"/>
          </w:tcPr>
          <w:p>
            <w:pPr>
              <w:spacing w:after="0"/>
              <w:rPr>
                <w:sz w:val="12"/>
                <w:szCs w:val="12"/>
                <w:color w:val="auto"/>
              </w:rPr>
            </w:pPr>
          </w:p>
        </w:tc>
        <w:tc>
          <w:tcPr>
            <w:tcW w:w="200" w:type="dxa"/>
            <w:vAlign w:val="bottom"/>
            <w:shd w:val="clear" w:color="auto" w:fill="CCEDFF"/>
          </w:tcPr>
          <w:p>
            <w:pPr>
              <w:spacing w:after="0"/>
              <w:rPr>
                <w:sz w:val="12"/>
                <w:szCs w:val="12"/>
                <w:color w:val="auto"/>
              </w:rPr>
            </w:pPr>
          </w:p>
        </w:tc>
        <w:tc>
          <w:tcPr>
            <w:tcW w:w="1000" w:type="dxa"/>
            <w:vAlign w:val="bottom"/>
            <w:shd w:val="clear" w:color="auto" w:fill="CCEDFF"/>
          </w:tcPr>
          <w:p>
            <w:pPr>
              <w:spacing w:after="0"/>
              <w:rPr>
                <w:sz w:val="12"/>
                <w:szCs w:val="12"/>
                <w:color w:val="auto"/>
              </w:rPr>
            </w:pPr>
          </w:p>
        </w:tc>
        <w:tc>
          <w:tcPr>
            <w:tcW w:w="120" w:type="dxa"/>
            <w:vAlign w:val="bottom"/>
            <w:shd w:val="clear" w:color="auto" w:fill="CCEDFF"/>
          </w:tcPr>
          <w:p>
            <w:pPr>
              <w:spacing w:after="0"/>
              <w:rPr>
                <w:sz w:val="12"/>
                <w:szCs w:val="12"/>
                <w:color w:val="auto"/>
              </w:rPr>
            </w:pPr>
          </w:p>
        </w:tc>
        <w:tc>
          <w:tcPr>
            <w:tcW w:w="1160" w:type="dxa"/>
            <w:vAlign w:val="bottom"/>
            <w:shd w:val="clear" w:color="auto" w:fill="CCEDFF"/>
          </w:tcPr>
          <w:p>
            <w:pPr>
              <w:spacing w:after="0"/>
              <w:rPr>
                <w:sz w:val="12"/>
                <w:szCs w:val="12"/>
                <w:color w:val="auto"/>
              </w:rPr>
            </w:pPr>
          </w:p>
        </w:tc>
        <w:tc>
          <w:tcPr>
            <w:tcW w:w="100" w:type="dxa"/>
            <w:vAlign w:val="bottom"/>
            <w:shd w:val="clear" w:color="auto" w:fill="CCEDFF"/>
          </w:tcPr>
          <w:p>
            <w:pPr>
              <w:spacing w:after="0"/>
              <w:rPr>
                <w:sz w:val="12"/>
                <w:szCs w:val="12"/>
                <w:color w:val="auto"/>
              </w:rPr>
            </w:pPr>
          </w:p>
        </w:tc>
        <w:tc>
          <w:tcPr>
            <w:tcW w:w="1060" w:type="dxa"/>
            <w:vAlign w:val="bottom"/>
            <w:shd w:val="clear" w:color="auto" w:fill="CCED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3"/>
                <w:szCs w:val="13"/>
                <w:color w:val="auto"/>
              </w:rPr>
              <w:t>Balance at December 31, 2024</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69,178,263</w:t>
            </w:r>
          </w:p>
        </w:tc>
        <w:tc>
          <w:tcPr>
            <w:tcW w:w="860" w:type="dxa"/>
            <w:vAlign w:val="bottom"/>
          </w:tcPr>
          <w:p>
            <w:pPr>
              <w:jc w:val="right"/>
              <w:ind w:right="693"/>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33"/>
              <w:spacing w:after="0"/>
              <w:rPr>
                <w:sz w:val="20"/>
                <w:szCs w:val="20"/>
                <w:color w:val="auto"/>
              </w:rPr>
            </w:pPr>
            <w:r>
              <w:rPr>
                <w:rFonts w:ascii="Arial" w:cs="Arial" w:eastAsia="Arial" w:hAnsi="Arial"/>
                <w:sz w:val="13"/>
                <w:szCs w:val="13"/>
                <w:color w:val="auto"/>
              </w:rPr>
              <w:t>692</w:t>
            </w: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755,077</w:t>
            </w:r>
          </w:p>
        </w:tc>
        <w:tc>
          <w:tcPr>
            <w:tcW w:w="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211,250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(8,863)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958,156</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Stock-based compensation</w:t>
            </w: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DFF"/>
          </w:tcPr>
          <w:p>
            <w:pPr>
              <w:spacing w:after="0"/>
              <w:rPr>
                <w:sz w:val="12"/>
                <w:szCs w:val="12"/>
                <w:color w:val="auto"/>
              </w:rPr>
            </w:pPr>
          </w:p>
        </w:tc>
        <w:tc>
          <w:tcPr>
            <w:tcW w:w="36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020" w:type="dxa"/>
            <w:vAlign w:val="bottom"/>
            <w:shd w:val="clear" w:color="auto" w:fill="CCEDFF"/>
          </w:tcPr>
          <w:p>
            <w:pPr>
              <w:jc w:val="right"/>
              <w:ind w:right="13"/>
              <w:spacing w:after="0"/>
              <w:rPr>
                <w:sz w:val="20"/>
                <w:szCs w:val="20"/>
                <w:color w:val="auto"/>
              </w:rPr>
            </w:pPr>
            <w:r>
              <w:rPr>
                <w:rFonts w:ascii="Arial" w:cs="Arial" w:eastAsia="Arial" w:hAnsi="Arial"/>
                <w:sz w:val="13"/>
                <w:szCs w:val="13"/>
                <w:color w:val="auto"/>
              </w:rPr>
              <w:t>1,766</w:t>
            </w:r>
          </w:p>
        </w:tc>
        <w:tc>
          <w:tcPr>
            <w:tcW w:w="200" w:type="dxa"/>
            <w:vAlign w:val="bottom"/>
            <w:shd w:val="clear" w:color="auto" w:fill="CCEDFF"/>
          </w:tcPr>
          <w:p>
            <w:pPr>
              <w:spacing w:after="0"/>
              <w:rPr>
                <w:sz w:val="12"/>
                <w:szCs w:val="12"/>
                <w:color w:val="auto"/>
              </w:rPr>
            </w:pPr>
          </w:p>
        </w:tc>
        <w:tc>
          <w:tcPr>
            <w:tcW w:w="100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FF"/>
          </w:tcPr>
          <w:p>
            <w:pPr>
              <w:spacing w:after="0"/>
              <w:rPr>
                <w:sz w:val="12"/>
                <w:szCs w:val="12"/>
                <w:color w:val="auto"/>
              </w:rPr>
            </w:pPr>
          </w:p>
        </w:tc>
        <w:tc>
          <w:tcPr>
            <w:tcW w:w="1160" w:type="dxa"/>
            <w:vAlign w:val="bottom"/>
            <w:shd w:val="clear" w:color="auto" w:fill="CCEDFF"/>
          </w:tcPr>
          <w:p>
            <w:pPr>
              <w:jc w:val="right"/>
              <w:ind w:right="3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FF"/>
          </w:tcPr>
          <w:p>
            <w:pPr>
              <w:spacing w:after="0"/>
              <w:rPr>
                <w:sz w:val="12"/>
                <w:szCs w:val="12"/>
                <w:color w:val="auto"/>
              </w:rPr>
            </w:pP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1,766</w:t>
            </w:r>
          </w:p>
        </w:tc>
        <w:tc>
          <w:tcPr>
            <w:tcW w:w="0" w:type="dxa"/>
            <w:vAlign w:val="bottom"/>
          </w:tcPr>
          <w:p>
            <w:pPr>
              <w:spacing w:after="0"/>
              <w:rPr>
                <w:sz w:val="1"/>
                <w:szCs w:val="1"/>
                <w:color w:val="auto"/>
              </w:rPr>
            </w:pPr>
          </w:p>
        </w:tc>
      </w:tr>
      <w:tr>
        <w:trPr>
          <w:trHeight w:val="148"/>
        </w:trPr>
        <w:tc>
          <w:tcPr>
            <w:tcW w:w="4040" w:type="dxa"/>
            <w:vAlign w:val="bottom"/>
          </w:tcPr>
          <w:p>
            <w:pPr>
              <w:ind w:left="40"/>
              <w:spacing w:after="0"/>
              <w:rPr>
                <w:sz w:val="20"/>
                <w:szCs w:val="20"/>
                <w:color w:val="auto"/>
              </w:rPr>
            </w:pPr>
            <w:r>
              <w:rPr>
                <w:rFonts w:ascii="Arial" w:cs="Arial" w:eastAsia="Arial" w:hAnsi="Arial"/>
                <w:sz w:val="13"/>
                <w:szCs w:val="13"/>
                <w:color w:val="auto"/>
              </w:rPr>
              <w:t>Foreign currency translation adjustment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2"/>
                <w:szCs w:val="12"/>
                <w:color w:val="auto"/>
              </w:rPr>
            </w:pPr>
          </w:p>
        </w:tc>
        <w:tc>
          <w:tcPr>
            <w:tcW w:w="3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4,616</w:t>
            </w:r>
          </w:p>
        </w:tc>
        <w:tc>
          <w:tcPr>
            <w:tcW w:w="10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4,616</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Net income (loss)</w:t>
            </w: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DFF"/>
          </w:tcPr>
          <w:p>
            <w:pPr>
              <w:spacing w:after="0"/>
              <w:rPr>
                <w:sz w:val="12"/>
                <w:szCs w:val="12"/>
                <w:color w:val="auto"/>
              </w:rPr>
            </w:pPr>
          </w:p>
        </w:tc>
        <w:tc>
          <w:tcPr>
            <w:tcW w:w="36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020" w:type="dxa"/>
            <w:vAlign w:val="bottom"/>
            <w:shd w:val="clear" w:color="auto" w:fill="CCED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DFF"/>
          </w:tcPr>
          <w:p>
            <w:pPr>
              <w:spacing w:after="0"/>
              <w:rPr>
                <w:sz w:val="12"/>
                <w:szCs w:val="12"/>
                <w:color w:val="auto"/>
              </w:rPr>
            </w:pPr>
          </w:p>
        </w:tc>
        <w:tc>
          <w:tcPr>
            <w:tcW w:w="100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14,757</w:t>
            </w:r>
          </w:p>
        </w:tc>
        <w:tc>
          <w:tcPr>
            <w:tcW w:w="120" w:type="dxa"/>
            <w:vAlign w:val="bottom"/>
            <w:shd w:val="clear" w:color="auto" w:fill="CCEDFF"/>
          </w:tcPr>
          <w:p>
            <w:pPr>
              <w:spacing w:after="0"/>
              <w:rPr>
                <w:sz w:val="12"/>
                <w:szCs w:val="12"/>
                <w:color w:val="auto"/>
              </w:rPr>
            </w:pPr>
          </w:p>
        </w:tc>
        <w:tc>
          <w:tcPr>
            <w:tcW w:w="1160" w:type="dxa"/>
            <w:vAlign w:val="bottom"/>
            <w:shd w:val="clear" w:color="auto" w:fill="CCEDFF"/>
          </w:tcPr>
          <w:p>
            <w:pPr>
              <w:jc w:val="right"/>
              <w:ind w:right="3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FF"/>
          </w:tcPr>
          <w:p>
            <w:pPr>
              <w:spacing w:after="0"/>
              <w:rPr>
                <w:sz w:val="12"/>
                <w:szCs w:val="12"/>
                <w:color w:val="auto"/>
              </w:rPr>
            </w:pP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14,757</w:t>
            </w:r>
          </w:p>
        </w:tc>
        <w:tc>
          <w:tcPr>
            <w:tcW w:w="0" w:type="dxa"/>
            <w:vAlign w:val="bottom"/>
          </w:tcPr>
          <w:p>
            <w:pPr>
              <w:spacing w:after="0"/>
              <w:rPr>
                <w:sz w:val="1"/>
                <w:szCs w:val="1"/>
                <w:color w:val="auto"/>
              </w:rPr>
            </w:pPr>
          </w:p>
        </w:tc>
      </w:tr>
      <w:tr>
        <w:trPr>
          <w:trHeight w:val="149"/>
        </w:trPr>
        <w:tc>
          <w:tcPr>
            <w:tcW w:w="4040" w:type="dxa"/>
            <w:vAlign w:val="bottom"/>
          </w:tcPr>
          <w:p>
            <w:pPr>
              <w:ind w:left="40"/>
              <w:spacing w:after="0"/>
              <w:rPr>
                <w:sz w:val="20"/>
                <w:szCs w:val="20"/>
                <w:color w:val="auto"/>
              </w:rPr>
            </w:pPr>
            <w:r>
              <w:rPr>
                <w:rFonts w:ascii="Arial" w:cs="Arial" w:eastAsia="Arial" w:hAnsi="Arial"/>
                <w:sz w:val="13"/>
                <w:szCs w:val="13"/>
                <w:color w:val="auto"/>
              </w:rPr>
              <w:t>Equity award vestings</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212,317</w:t>
            </w:r>
          </w:p>
        </w:tc>
        <w:tc>
          <w:tcPr>
            <w:tcW w:w="860" w:type="dxa"/>
            <w:vAlign w:val="bottom"/>
          </w:tcPr>
          <w:p>
            <w:pPr>
              <w:spacing w:after="0"/>
              <w:rPr>
                <w:sz w:val="12"/>
                <w:szCs w:val="12"/>
                <w:color w:val="auto"/>
              </w:rPr>
            </w:pPr>
          </w:p>
        </w:tc>
        <w:tc>
          <w:tcPr>
            <w:tcW w:w="360" w:type="dxa"/>
            <w:vAlign w:val="bottom"/>
          </w:tcPr>
          <w:p>
            <w:pPr>
              <w:jc w:val="right"/>
              <w:ind w:right="33"/>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2"/>
                <w:szCs w:val="12"/>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Shares withheld related to net settlement of equity awards</w:t>
            </w:r>
          </w:p>
        </w:tc>
        <w:tc>
          <w:tcPr>
            <w:tcW w:w="11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(16,615)</w:t>
            </w:r>
          </w:p>
        </w:tc>
        <w:tc>
          <w:tcPr>
            <w:tcW w:w="860" w:type="dxa"/>
            <w:vAlign w:val="bottom"/>
            <w:shd w:val="clear" w:color="auto" w:fill="CCEDFF"/>
          </w:tcPr>
          <w:p>
            <w:pPr>
              <w:spacing w:after="0"/>
              <w:rPr>
                <w:sz w:val="12"/>
                <w:szCs w:val="12"/>
                <w:color w:val="auto"/>
              </w:rPr>
            </w:pPr>
          </w:p>
        </w:tc>
        <w:tc>
          <w:tcPr>
            <w:tcW w:w="36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0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(293)</w:t>
            </w:r>
          </w:p>
        </w:tc>
        <w:tc>
          <w:tcPr>
            <w:tcW w:w="200" w:type="dxa"/>
            <w:vAlign w:val="bottom"/>
            <w:shd w:val="clear" w:color="auto" w:fill="CCEDFF"/>
          </w:tcPr>
          <w:p>
            <w:pPr>
              <w:spacing w:after="0"/>
              <w:rPr>
                <w:sz w:val="12"/>
                <w:szCs w:val="12"/>
                <w:color w:val="auto"/>
              </w:rPr>
            </w:pPr>
          </w:p>
        </w:tc>
        <w:tc>
          <w:tcPr>
            <w:tcW w:w="100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FF"/>
          </w:tcPr>
          <w:p>
            <w:pPr>
              <w:spacing w:after="0"/>
              <w:rPr>
                <w:sz w:val="12"/>
                <w:szCs w:val="12"/>
                <w:color w:val="auto"/>
              </w:rPr>
            </w:pPr>
          </w:p>
        </w:tc>
        <w:tc>
          <w:tcPr>
            <w:tcW w:w="1160" w:type="dxa"/>
            <w:vAlign w:val="bottom"/>
            <w:shd w:val="clear" w:color="auto" w:fill="CCEDFF"/>
          </w:tcPr>
          <w:p>
            <w:pPr>
              <w:jc w:val="right"/>
              <w:ind w:right="3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FF"/>
          </w:tcPr>
          <w:p>
            <w:pPr>
              <w:spacing w:after="0"/>
              <w:rPr>
                <w:sz w:val="12"/>
                <w:szCs w:val="12"/>
                <w:color w:val="auto"/>
              </w:rPr>
            </w:pPr>
          </w:p>
        </w:tc>
        <w:tc>
          <w:tcPr>
            <w:tcW w:w="1060" w:type="dxa"/>
            <w:vAlign w:val="bottom"/>
            <w:shd w:val="clear" w:color="auto" w:fill="CCEDFF"/>
          </w:tcPr>
          <w:p>
            <w:pPr>
              <w:jc w:val="right"/>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48"/>
        </w:trPr>
        <w:tc>
          <w:tcPr>
            <w:tcW w:w="4040" w:type="dxa"/>
            <w:vAlign w:val="bottom"/>
          </w:tcPr>
          <w:p>
            <w:pPr>
              <w:ind w:left="40"/>
              <w:spacing w:after="0"/>
              <w:rPr>
                <w:sz w:val="20"/>
                <w:szCs w:val="20"/>
                <w:color w:val="auto"/>
              </w:rPr>
            </w:pPr>
            <w:r>
              <w:rPr>
                <w:rFonts w:ascii="Arial" w:cs="Arial" w:eastAsia="Arial" w:hAnsi="Arial"/>
                <w:sz w:val="13"/>
                <w:szCs w:val="13"/>
                <w:color w:val="auto"/>
              </w:rPr>
              <w:t>Repurchase and retirement of common stock</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(36,043)</w:t>
            </w:r>
          </w:p>
        </w:tc>
        <w:tc>
          <w:tcPr>
            <w:tcW w:w="8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(625)</w:t>
            </w: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182"/>
        </w:trPr>
        <w:tc>
          <w:tcPr>
            <w:tcW w:w="4040" w:type="dxa"/>
            <w:vAlign w:val="bottom"/>
            <w:tcBorders>
              <w:bottom w:val="single" w:sz="8" w:color="CCEDFF"/>
            </w:tcBorders>
            <w:shd w:val="clear" w:color="auto" w:fill="CCEDFF"/>
          </w:tcPr>
          <w:p>
            <w:pPr>
              <w:spacing w:after="0" w:line="142" w:lineRule="exact"/>
              <w:rPr>
                <w:sz w:val="20"/>
                <w:szCs w:val="20"/>
                <w:color w:val="auto"/>
              </w:rPr>
            </w:pPr>
            <w:r>
              <w:rPr>
                <w:rFonts w:ascii="Arial" w:cs="Arial" w:eastAsia="Arial" w:hAnsi="Arial"/>
                <w:sz w:val="13"/>
                <w:szCs w:val="13"/>
                <w:color w:val="auto"/>
              </w:rPr>
              <w:t>Balance at March 31, 2025</w:t>
            </w:r>
          </w:p>
        </w:tc>
        <w:tc>
          <w:tcPr>
            <w:tcW w:w="1120" w:type="dxa"/>
            <w:vAlign w:val="bottom"/>
            <w:tcBorders>
              <w:bottom w:val="single" w:sz="8" w:color="auto"/>
            </w:tcBorders>
            <w:shd w:val="clear" w:color="auto" w:fill="CCEDFF"/>
          </w:tcPr>
          <w:p>
            <w:pPr>
              <w:jc w:val="right"/>
              <w:ind w:right="33"/>
              <w:spacing w:after="0" w:line="142" w:lineRule="exact"/>
              <w:rPr>
                <w:sz w:val="20"/>
                <w:szCs w:val="20"/>
                <w:color w:val="auto"/>
              </w:rPr>
            </w:pPr>
            <w:r>
              <w:rPr>
                <w:rFonts w:ascii="Arial" w:cs="Arial" w:eastAsia="Arial" w:hAnsi="Arial"/>
                <w:sz w:val="13"/>
                <w:szCs w:val="13"/>
                <w:color w:val="auto"/>
              </w:rPr>
              <w:t>69,337,922</w:t>
            </w:r>
          </w:p>
        </w:tc>
        <w:tc>
          <w:tcPr>
            <w:tcW w:w="860" w:type="dxa"/>
            <w:vAlign w:val="bottom"/>
            <w:tcBorders>
              <w:bottom w:val="single" w:sz="8" w:color="auto"/>
            </w:tcBorders>
            <w:shd w:val="clear" w:color="auto" w:fill="CCEDFF"/>
          </w:tcPr>
          <w:p>
            <w:pPr>
              <w:jc w:val="right"/>
              <w:ind w:right="693"/>
              <w:spacing w:after="0" w:line="142" w:lineRule="exact"/>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DFF"/>
          </w:tcPr>
          <w:p>
            <w:pPr>
              <w:jc w:val="right"/>
              <w:ind w:right="33"/>
              <w:spacing w:after="0" w:line="142" w:lineRule="exact"/>
              <w:rPr>
                <w:sz w:val="20"/>
                <w:szCs w:val="20"/>
                <w:color w:val="auto"/>
              </w:rPr>
            </w:pPr>
            <w:r>
              <w:rPr>
                <w:rFonts w:ascii="Arial" w:cs="Arial" w:eastAsia="Arial" w:hAnsi="Arial"/>
                <w:sz w:val="13"/>
                <w:szCs w:val="13"/>
                <w:color w:val="auto"/>
              </w:rPr>
              <w:t>693</w:t>
            </w:r>
          </w:p>
        </w:tc>
        <w:tc>
          <w:tcPr>
            <w:tcW w:w="200" w:type="dxa"/>
            <w:vAlign w:val="bottom"/>
            <w:tcBorders>
              <w:bottom w:val="single" w:sz="8" w:color="auto"/>
            </w:tcBorders>
            <w:gridSpan w:val="2"/>
            <w:shd w:val="clear" w:color="auto" w:fill="CCED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DFF"/>
          </w:tcPr>
          <w:p>
            <w:pPr>
              <w:jc w:val="right"/>
              <w:ind w:right="13"/>
              <w:spacing w:after="0" w:line="142" w:lineRule="exact"/>
              <w:rPr>
                <w:sz w:val="20"/>
                <w:szCs w:val="20"/>
                <w:color w:val="auto"/>
              </w:rPr>
            </w:pPr>
            <w:r>
              <w:rPr>
                <w:rFonts w:ascii="Arial" w:cs="Arial" w:eastAsia="Arial" w:hAnsi="Arial"/>
                <w:sz w:val="13"/>
                <w:szCs w:val="13"/>
                <w:color w:val="auto"/>
              </w:rPr>
              <w:t>756,548</w:t>
            </w:r>
          </w:p>
        </w:tc>
        <w:tc>
          <w:tcPr>
            <w:tcW w:w="200" w:type="dxa"/>
            <w:vAlign w:val="bottom"/>
            <w:tcBorders>
              <w:bottom w:val="single" w:sz="8" w:color="auto"/>
            </w:tcBorders>
            <w:shd w:val="clear" w:color="auto" w:fill="CCEDFF"/>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DFF"/>
          </w:tcPr>
          <w:p>
            <w:pPr>
              <w:jc w:val="right"/>
              <w:ind w:right="33"/>
              <w:spacing w:after="0" w:line="142" w:lineRule="exact"/>
              <w:rPr>
                <w:sz w:val="20"/>
                <w:szCs w:val="20"/>
                <w:color w:val="auto"/>
              </w:rPr>
            </w:pPr>
            <w:r>
              <w:rPr>
                <w:rFonts w:ascii="Arial" w:cs="Arial" w:eastAsia="Arial" w:hAnsi="Arial"/>
                <w:sz w:val="13"/>
                <w:szCs w:val="13"/>
                <w:color w:val="auto"/>
              </w:rPr>
              <w:t>225,382</w:t>
            </w:r>
          </w:p>
        </w:tc>
        <w:tc>
          <w:tcPr>
            <w:tcW w:w="120" w:type="dxa"/>
            <w:vAlign w:val="bottom"/>
            <w:tcBorders>
              <w:bottom w:val="single" w:sz="8" w:color="auto"/>
            </w:tcBorders>
            <w:shd w:val="clear" w:color="auto" w:fill="CCEDFF"/>
          </w:tcPr>
          <w:p>
            <w:pPr>
              <w:jc w:val="right"/>
              <w:spacing w:after="0" w:line="142"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DFF"/>
          </w:tcPr>
          <w:p>
            <w:pPr>
              <w:jc w:val="right"/>
              <w:spacing w:after="0" w:line="142" w:lineRule="exact"/>
              <w:rPr>
                <w:sz w:val="20"/>
                <w:szCs w:val="20"/>
                <w:color w:val="auto"/>
              </w:rPr>
            </w:pPr>
            <w:r>
              <w:rPr>
                <w:rFonts w:ascii="Arial" w:cs="Arial" w:eastAsia="Arial" w:hAnsi="Arial"/>
                <w:sz w:val="13"/>
                <w:szCs w:val="13"/>
                <w:color w:val="auto"/>
              </w:rPr>
              <w:t>(4,247)</w:t>
            </w:r>
          </w:p>
        </w:tc>
        <w:tc>
          <w:tcPr>
            <w:tcW w:w="100" w:type="dxa"/>
            <w:vAlign w:val="bottom"/>
            <w:tcBorders>
              <w:bottom w:val="single" w:sz="8" w:color="auto"/>
            </w:tcBorders>
            <w:shd w:val="clear" w:color="auto" w:fill="CCEDFF"/>
          </w:tcPr>
          <w:p>
            <w:pPr>
              <w:jc w:val="right"/>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978,376</w:t>
            </w: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spacing w:after="0"/>
              <w:rPr>
                <w:sz w:val="20"/>
                <w:szCs w:val="20"/>
                <w:color w:val="auto"/>
              </w:rPr>
            </w:pPr>
            <w:r>
              <w:rPr>
                <w:rFonts w:ascii="Arial" w:cs="Arial" w:eastAsia="Arial" w:hAnsi="Arial"/>
                <w:sz w:val="13"/>
                <w:szCs w:val="13"/>
                <w:b w:val="1"/>
                <w:bCs w:val="1"/>
                <w:color w:val="auto"/>
              </w:rPr>
              <w:t>For the three months ended March 31, 2026</w:t>
            </w:r>
          </w:p>
        </w:tc>
        <w:tc>
          <w:tcPr>
            <w:tcW w:w="1120" w:type="dxa"/>
            <w:vAlign w:val="bottom"/>
            <w:shd w:val="clear" w:color="auto" w:fill="CCEDFF"/>
          </w:tcPr>
          <w:p>
            <w:pPr>
              <w:spacing w:after="0"/>
              <w:rPr>
                <w:sz w:val="12"/>
                <w:szCs w:val="12"/>
                <w:color w:val="auto"/>
              </w:rPr>
            </w:pPr>
          </w:p>
        </w:tc>
        <w:tc>
          <w:tcPr>
            <w:tcW w:w="860" w:type="dxa"/>
            <w:vAlign w:val="bottom"/>
            <w:shd w:val="clear" w:color="auto" w:fill="CCEDFF"/>
          </w:tcPr>
          <w:p>
            <w:pPr>
              <w:spacing w:after="0"/>
              <w:rPr>
                <w:sz w:val="12"/>
                <w:szCs w:val="12"/>
                <w:color w:val="auto"/>
              </w:rPr>
            </w:pPr>
          </w:p>
        </w:tc>
        <w:tc>
          <w:tcPr>
            <w:tcW w:w="360" w:type="dxa"/>
            <w:vAlign w:val="bottom"/>
            <w:shd w:val="clear" w:color="auto" w:fill="CCEDFF"/>
          </w:tcPr>
          <w:p>
            <w:pPr>
              <w:spacing w:after="0"/>
              <w:rPr>
                <w:sz w:val="12"/>
                <w:szCs w:val="12"/>
                <w:color w:val="auto"/>
              </w:rPr>
            </w:pPr>
          </w:p>
        </w:tc>
        <w:tc>
          <w:tcPr>
            <w:tcW w:w="4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020" w:type="dxa"/>
            <w:vAlign w:val="bottom"/>
            <w:shd w:val="clear" w:color="auto" w:fill="CCEDFF"/>
          </w:tcPr>
          <w:p>
            <w:pPr>
              <w:spacing w:after="0"/>
              <w:rPr>
                <w:sz w:val="12"/>
                <w:szCs w:val="12"/>
                <w:color w:val="auto"/>
              </w:rPr>
            </w:pPr>
          </w:p>
        </w:tc>
        <w:tc>
          <w:tcPr>
            <w:tcW w:w="200" w:type="dxa"/>
            <w:vAlign w:val="bottom"/>
            <w:shd w:val="clear" w:color="auto" w:fill="CCEDFF"/>
          </w:tcPr>
          <w:p>
            <w:pPr>
              <w:spacing w:after="0"/>
              <w:rPr>
                <w:sz w:val="12"/>
                <w:szCs w:val="12"/>
                <w:color w:val="auto"/>
              </w:rPr>
            </w:pPr>
          </w:p>
        </w:tc>
        <w:tc>
          <w:tcPr>
            <w:tcW w:w="1000" w:type="dxa"/>
            <w:vAlign w:val="bottom"/>
            <w:shd w:val="clear" w:color="auto" w:fill="CCEDFF"/>
          </w:tcPr>
          <w:p>
            <w:pPr>
              <w:spacing w:after="0"/>
              <w:rPr>
                <w:sz w:val="12"/>
                <w:szCs w:val="12"/>
                <w:color w:val="auto"/>
              </w:rPr>
            </w:pPr>
          </w:p>
        </w:tc>
        <w:tc>
          <w:tcPr>
            <w:tcW w:w="120" w:type="dxa"/>
            <w:vAlign w:val="bottom"/>
            <w:shd w:val="clear" w:color="auto" w:fill="CCEDFF"/>
          </w:tcPr>
          <w:p>
            <w:pPr>
              <w:spacing w:after="0"/>
              <w:rPr>
                <w:sz w:val="12"/>
                <w:szCs w:val="12"/>
                <w:color w:val="auto"/>
              </w:rPr>
            </w:pPr>
          </w:p>
        </w:tc>
        <w:tc>
          <w:tcPr>
            <w:tcW w:w="1160" w:type="dxa"/>
            <w:vAlign w:val="bottom"/>
            <w:shd w:val="clear" w:color="auto" w:fill="CCEDFF"/>
          </w:tcPr>
          <w:p>
            <w:pPr>
              <w:spacing w:after="0"/>
              <w:rPr>
                <w:sz w:val="12"/>
                <w:szCs w:val="12"/>
                <w:color w:val="auto"/>
              </w:rPr>
            </w:pPr>
          </w:p>
        </w:tc>
        <w:tc>
          <w:tcPr>
            <w:tcW w:w="100" w:type="dxa"/>
            <w:vAlign w:val="bottom"/>
            <w:shd w:val="clear" w:color="auto" w:fill="CCEDFF"/>
          </w:tcPr>
          <w:p>
            <w:pPr>
              <w:spacing w:after="0"/>
              <w:rPr>
                <w:sz w:val="12"/>
                <w:szCs w:val="12"/>
                <w:color w:val="auto"/>
              </w:rPr>
            </w:pPr>
          </w:p>
        </w:tc>
        <w:tc>
          <w:tcPr>
            <w:tcW w:w="1060" w:type="dxa"/>
            <w:vAlign w:val="bottom"/>
            <w:shd w:val="clear" w:color="auto" w:fill="CCED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3"/>
                <w:szCs w:val="13"/>
                <w:color w:val="auto"/>
              </w:rPr>
              <w:t>Balance at December 31, 2025</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69,077,237</w:t>
            </w:r>
          </w:p>
        </w:tc>
        <w:tc>
          <w:tcPr>
            <w:tcW w:w="860" w:type="dxa"/>
            <w:vAlign w:val="bottom"/>
          </w:tcPr>
          <w:p>
            <w:pPr>
              <w:jc w:val="right"/>
              <w:ind w:right="693"/>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33"/>
              <w:spacing w:after="0"/>
              <w:rPr>
                <w:sz w:val="20"/>
                <w:szCs w:val="20"/>
                <w:color w:val="auto"/>
              </w:rPr>
            </w:pPr>
            <w:r>
              <w:rPr>
                <w:rFonts w:ascii="Arial" w:cs="Arial" w:eastAsia="Arial" w:hAnsi="Arial"/>
                <w:sz w:val="13"/>
                <w:szCs w:val="13"/>
                <w:color w:val="auto"/>
              </w:rPr>
              <w:t>691</w:t>
            </w:r>
          </w:p>
        </w:tc>
        <w:tc>
          <w:tcPr>
            <w:tcW w:w="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767,650</w:t>
            </w:r>
          </w:p>
        </w:tc>
        <w:tc>
          <w:tcPr>
            <w:tcW w:w="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285,274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4,084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1,057,699</w:t>
            </w:r>
          </w:p>
        </w:tc>
        <w:tc>
          <w:tcPr>
            <w:tcW w:w="0" w:type="dxa"/>
            <w:vAlign w:val="bottom"/>
          </w:tcPr>
          <w:p>
            <w:pPr>
              <w:spacing w:after="0"/>
              <w:rPr>
                <w:sz w:val="1"/>
                <w:szCs w:val="1"/>
                <w:color w:val="auto"/>
              </w:rPr>
            </w:pPr>
          </w:p>
        </w:tc>
      </w:tr>
      <w:tr>
        <w:trPr>
          <w:trHeight w:val="149"/>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Stock-based compensation</w:t>
            </w: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DFF"/>
          </w:tcPr>
          <w:p>
            <w:pPr>
              <w:spacing w:after="0"/>
              <w:rPr>
                <w:sz w:val="12"/>
                <w:szCs w:val="12"/>
                <w:color w:val="auto"/>
              </w:rPr>
            </w:pPr>
          </w:p>
        </w:tc>
        <w:tc>
          <w:tcPr>
            <w:tcW w:w="36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020" w:type="dxa"/>
            <w:vAlign w:val="bottom"/>
            <w:shd w:val="clear" w:color="auto" w:fill="CCEDFF"/>
          </w:tcPr>
          <w:p>
            <w:pPr>
              <w:jc w:val="right"/>
              <w:ind w:right="13"/>
              <w:spacing w:after="0"/>
              <w:rPr>
                <w:sz w:val="20"/>
                <w:szCs w:val="20"/>
                <w:color w:val="auto"/>
              </w:rPr>
            </w:pPr>
            <w:r>
              <w:rPr>
                <w:rFonts w:ascii="Arial" w:cs="Arial" w:eastAsia="Arial" w:hAnsi="Arial"/>
                <w:sz w:val="13"/>
                <w:szCs w:val="13"/>
                <w:color w:val="auto"/>
              </w:rPr>
              <w:t>2,967</w:t>
            </w:r>
          </w:p>
        </w:tc>
        <w:tc>
          <w:tcPr>
            <w:tcW w:w="200" w:type="dxa"/>
            <w:vAlign w:val="bottom"/>
            <w:shd w:val="clear" w:color="auto" w:fill="CCEDFF"/>
          </w:tcPr>
          <w:p>
            <w:pPr>
              <w:spacing w:after="0"/>
              <w:rPr>
                <w:sz w:val="12"/>
                <w:szCs w:val="12"/>
                <w:color w:val="auto"/>
              </w:rPr>
            </w:pPr>
          </w:p>
        </w:tc>
        <w:tc>
          <w:tcPr>
            <w:tcW w:w="100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FF"/>
          </w:tcPr>
          <w:p>
            <w:pPr>
              <w:spacing w:after="0"/>
              <w:rPr>
                <w:sz w:val="12"/>
                <w:szCs w:val="12"/>
                <w:color w:val="auto"/>
              </w:rPr>
            </w:pPr>
          </w:p>
        </w:tc>
        <w:tc>
          <w:tcPr>
            <w:tcW w:w="1160" w:type="dxa"/>
            <w:vAlign w:val="bottom"/>
            <w:shd w:val="clear" w:color="auto" w:fill="CCEDFF"/>
          </w:tcPr>
          <w:p>
            <w:pPr>
              <w:jc w:val="right"/>
              <w:ind w:right="3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FF"/>
          </w:tcPr>
          <w:p>
            <w:pPr>
              <w:spacing w:after="0"/>
              <w:rPr>
                <w:sz w:val="12"/>
                <w:szCs w:val="12"/>
                <w:color w:val="auto"/>
              </w:rPr>
            </w:pP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2,967</w:t>
            </w:r>
          </w:p>
        </w:tc>
        <w:tc>
          <w:tcPr>
            <w:tcW w:w="0" w:type="dxa"/>
            <w:vAlign w:val="bottom"/>
          </w:tcPr>
          <w:p>
            <w:pPr>
              <w:spacing w:after="0"/>
              <w:rPr>
                <w:sz w:val="1"/>
                <w:szCs w:val="1"/>
                <w:color w:val="auto"/>
              </w:rPr>
            </w:pPr>
          </w:p>
        </w:tc>
      </w:tr>
      <w:tr>
        <w:trPr>
          <w:trHeight w:val="148"/>
        </w:trPr>
        <w:tc>
          <w:tcPr>
            <w:tcW w:w="4040" w:type="dxa"/>
            <w:vAlign w:val="bottom"/>
          </w:tcPr>
          <w:p>
            <w:pPr>
              <w:ind w:left="40"/>
              <w:spacing w:after="0"/>
              <w:rPr>
                <w:sz w:val="20"/>
                <w:szCs w:val="20"/>
                <w:color w:val="auto"/>
              </w:rPr>
            </w:pPr>
            <w:r>
              <w:rPr>
                <w:rFonts w:ascii="Arial" w:cs="Arial" w:eastAsia="Arial" w:hAnsi="Arial"/>
                <w:sz w:val="13"/>
                <w:szCs w:val="13"/>
                <w:color w:val="auto"/>
              </w:rPr>
              <w:t>Foreign currency translation adjustment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2"/>
                <w:szCs w:val="12"/>
                <w:color w:val="auto"/>
              </w:rPr>
            </w:pPr>
          </w:p>
        </w:tc>
        <w:tc>
          <w:tcPr>
            <w:tcW w:w="3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1,750</w:t>
            </w:r>
          </w:p>
        </w:tc>
        <w:tc>
          <w:tcPr>
            <w:tcW w:w="10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1,750</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Net income (loss)</w:t>
            </w: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DFF"/>
          </w:tcPr>
          <w:p>
            <w:pPr>
              <w:spacing w:after="0"/>
              <w:rPr>
                <w:sz w:val="12"/>
                <w:szCs w:val="12"/>
                <w:color w:val="auto"/>
              </w:rPr>
            </w:pPr>
          </w:p>
        </w:tc>
        <w:tc>
          <w:tcPr>
            <w:tcW w:w="36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020" w:type="dxa"/>
            <w:vAlign w:val="bottom"/>
            <w:shd w:val="clear" w:color="auto" w:fill="CCEDFF"/>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DFF"/>
          </w:tcPr>
          <w:p>
            <w:pPr>
              <w:spacing w:after="0"/>
              <w:rPr>
                <w:sz w:val="12"/>
                <w:szCs w:val="12"/>
                <w:color w:val="auto"/>
              </w:rPr>
            </w:pPr>
          </w:p>
        </w:tc>
        <w:tc>
          <w:tcPr>
            <w:tcW w:w="1000" w:type="dxa"/>
            <w:vAlign w:val="bottom"/>
            <w:shd w:val="clear" w:color="auto" w:fill="CCEDFF"/>
          </w:tcPr>
          <w:p>
            <w:pPr>
              <w:jc w:val="right"/>
              <w:spacing w:after="0"/>
              <w:rPr>
                <w:sz w:val="20"/>
                <w:szCs w:val="20"/>
                <w:color w:val="auto"/>
              </w:rPr>
            </w:pPr>
            <w:r>
              <w:rPr>
                <w:rFonts w:ascii="Arial" w:cs="Arial" w:eastAsia="Arial" w:hAnsi="Arial"/>
                <w:sz w:val="13"/>
                <w:szCs w:val="13"/>
                <w:color w:val="auto"/>
              </w:rPr>
              <w:t>(16,671)</w:t>
            </w:r>
          </w:p>
        </w:tc>
        <w:tc>
          <w:tcPr>
            <w:tcW w:w="120" w:type="dxa"/>
            <w:vAlign w:val="bottom"/>
            <w:shd w:val="clear" w:color="auto" w:fill="CCEDFF"/>
          </w:tcPr>
          <w:p>
            <w:pPr>
              <w:spacing w:after="0"/>
              <w:rPr>
                <w:sz w:val="12"/>
                <w:szCs w:val="12"/>
                <w:color w:val="auto"/>
              </w:rPr>
            </w:pPr>
          </w:p>
        </w:tc>
        <w:tc>
          <w:tcPr>
            <w:tcW w:w="1160" w:type="dxa"/>
            <w:vAlign w:val="bottom"/>
            <w:shd w:val="clear" w:color="auto" w:fill="CCEDFF"/>
          </w:tcPr>
          <w:p>
            <w:pPr>
              <w:jc w:val="right"/>
              <w:ind w:right="3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FF"/>
          </w:tcPr>
          <w:p>
            <w:pPr>
              <w:spacing w:after="0"/>
              <w:rPr>
                <w:sz w:val="12"/>
                <w:szCs w:val="12"/>
                <w:color w:val="auto"/>
              </w:rPr>
            </w:pPr>
          </w:p>
        </w:tc>
        <w:tc>
          <w:tcPr>
            <w:tcW w:w="1060" w:type="dxa"/>
            <w:vAlign w:val="bottom"/>
            <w:shd w:val="clear" w:color="auto" w:fill="CCEDFF"/>
          </w:tcPr>
          <w:p>
            <w:pPr>
              <w:jc w:val="right"/>
              <w:spacing w:after="0"/>
              <w:rPr>
                <w:sz w:val="20"/>
                <w:szCs w:val="20"/>
                <w:color w:val="auto"/>
              </w:rPr>
            </w:pPr>
            <w:r>
              <w:rPr>
                <w:rFonts w:ascii="Arial" w:cs="Arial" w:eastAsia="Arial" w:hAnsi="Arial"/>
                <w:sz w:val="13"/>
                <w:szCs w:val="13"/>
                <w:color w:val="auto"/>
              </w:rPr>
              <w:t>(16,671)</w:t>
            </w:r>
          </w:p>
        </w:tc>
        <w:tc>
          <w:tcPr>
            <w:tcW w:w="0" w:type="dxa"/>
            <w:vAlign w:val="bottom"/>
          </w:tcPr>
          <w:p>
            <w:pPr>
              <w:spacing w:after="0"/>
              <w:rPr>
                <w:sz w:val="1"/>
                <w:szCs w:val="1"/>
                <w:color w:val="auto"/>
              </w:rPr>
            </w:pPr>
          </w:p>
        </w:tc>
      </w:tr>
      <w:tr>
        <w:trPr>
          <w:trHeight w:val="148"/>
        </w:trPr>
        <w:tc>
          <w:tcPr>
            <w:tcW w:w="4040" w:type="dxa"/>
            <w:vAlign w:val="bottom"/>
          </w:tcPr>
          <w:p>
            <w:pPr>
              <w:ind w:left="40"/>
              <w:spacing w:after="0"/>
              <w:rPr>
                <w:sz w:val="20"/>
                <w:szCs w:val="20"/>
                <w:color w:val="auto"/>
              </w:rPr>
            </w:pPr>
            <w:r>
              <w:rPr>
                <w:rFonts w:ascii="Arial" w:cs="Arial" w:eastAsia="Arial" w:hAnsi="Arial"/>
                <w:sz w:val="13"/>
                <w:szCs w:val="13"/>
                <w:color w:val="auto"/>
              </w:rPr>
              <w:t>Equity award vestings</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164,037</w:t>
            </w:r>
          </w:p>
        </w:tc>
        <w:tc>
          <w:tcPr>
            <w:tcW w:w="860" w:type="dxa"/>
            <w:vAlign w:val="bottom"/>
          </w:tcPr>
          <w:p>
            <w:pPr>
              <w:spacing w:after="0"/>
              <w:rPr>
                <w:sz w:val="12"/>
                <w:szCs w:val="12"/>
                <w:color w:val="auto"/>
              </w:rPr>
            </w:pPr>
          </w:p>
        </w:tc>
        <w:tc>
          <w:tcPr>
            <w:tcW w:w="360" w:type="dxa"/>
            <w:vAlign w:val="bottom"/>
          </w:tcPr>
          <w:p>
            <w:pPr>
              <w:jc w:val="right"/>
              <w:ind w:right="33"/>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2"/>
                <w:szCs w:val="12"/>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Shares withheld related to net settlement of equity awards</w:t>
            </w:r>
          </w:p>
        </w:tc>
        <w:tc>
          <w:tcPr>
            <w:tcW w:w="11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(31,258)</w:t>
            </w:r>
          </w:p>
        </w:tc>
        <w:tc>
          <w:tcPr>
            <w:tcW w:w="860" w:type="dxa"/>
            <w:vAlign w:val="bottom"/>
            <w:shd w:val="clear" w:color="auto" w:fill="CCEDFF"/>
          </w:tcPr>
          <w:p>
            <w:pPr>
              <w:spacing w:after="0"/>
              <w:rPr>
                <w:sz w:val="12"/>
                <w:szCs w:val="12"/>
                <w:color w:val="auto"/>
              </w:rPr>
            </w:pPr>
          </w:p>
        </w:tc>
        <w:tc>
          <w:tcPr>
            <w:tcW w:w="36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0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(710)</w:t>
            </w:r>
          </w:p>
        </w:tc>
        <w:tc>
          <w:tcPr>
            <w:tcW w:w="200" w:type="dxa"/>
            <w:vAlign w:val="bottom"/>
            <w:shd w:val="clear" w:color="auto" w:fill="CCEDFF"/>
          </w:tcPr>
          <w:p>
            <w:pPr>
              <w:spacing w:after="0"/>
              <w:rPr>
                <w:sz w:val="12"/>
                <w:szCs w:val="12"/>
                <w:color w:val="auto"/>
              </w:rPr>
            </w:pPr>
          </w:p>
        </w:tc>
        <w:tc>
          <w:tcPr>
            <w:tcW w:w="100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FF"/>
          </w:tcPr>
          <w:p>
            <w:pPr>
              <w:spacing w:after="0"/>
              <w:rPr>
                <w:sz w:val="12"/>
                <w:szCs w:val="12"/>
                <w:color w:val="auto"/>
              </w:rPr>
            </w:pPr>
          </w:p>
        </w:tc>
        <w:tc>
          <w:tcPr>
            <w:tcW w:w="1160" w:type="dxa"/>
            <w:vAlign w:val="bottom"/>
            <w:shd w:val="clear" w:color="auto" w:fill="CCEDFF"/>
          </w:tcPr>
          <w:p>
            <w:pPr>
              <w:jc w:val="right"/>
              <w:ind w:right="3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FF"/>
          </w:tcPr>
          <w:p>
            <w:pPr>
              <w:spacing w:after="0"/>
              <w:rPr>
                <w:sz w:val="12"/>
                <w:szCs w:val="12"/>
                <w:color w:val="auto"/>
              </w:rPr>
            </w:pPr>
          </w:p>
        </w:tc>
        <w:tc>
          <w:tcPr>
            <w:tcW w:w="1060" w:type="dxa"/>
            <w:vAlign w:val="bottom"/>
            <w:shd w:val="clear" w:color="auto" w:fill="CCEDFF"/>
          </w:tcPr>
          <w:p>
            <w:pPr>
              <w:jc w:val="right"/>
              <w:spacing w:after="0"/>
              <w:rPr>
                <w:sz w:val="20"/>
                <w:szCs w:val="20"/>
                <w:color w:val="auto"/>
              </w:rPr>
            </w:pPr>
            <w:r>
              <w:rPr>
                <w:rFonts w:ascii="Arial" w:cs="Arial" w:eastAsia="Arial" w:hAnsi="Arial"/>
                <w:sz w:val="13"/>
                <w:szCs w:val="13"/>
                <w:color w:val="auto"/>
              </w:rPr>
              <w:t>(710)</w:t>
            </w:r>
          </w:p>
        </w:tc>
        <w:tc>
          <w:tcPr>
            <w:tcW w:w="0" w:type="dxa"/>
            <w:vAlign w:val="bottom"/>
          </w:tcPr>
          <w:p>
            <w:pPr>
              <w:spacing w:after="0"/>
              <w:rPr>
                <w:sz w:val="1"/>
                <w:szCs w:val="1"/>
                <w:color w:val="auto"/>
              </w:rPr>
            </w:pPr>
          </w:p>
        </w:tc>
      </w:tr>
      <w:tr>
        <w:trPr>
          <w:trHeight w:val="149"/>
        </w:trPr>
        <w:tc>
          <w:tcPr>
            <w:tcW w:w="4040" w:type="dxa"/>
            <w:vAlign w:val="bottom"/>
          </w:tcPr>
          <w:p>
            <w:pPr>
              <w:ind w:left="40"/>
              <w:spacing w:after="0"/>
              <w:rPr>
                <w:sz w:val="20"/>
                <w:szCs w:val="20"/>
                <w:color w:val="auto"/>
              </w:rPr>
            </w:pPr>
            <w:r>
              <w:rPr>
                <w:rFonts w:ascii="Arial" w:cs="Arial" w:eastAsia="Arial" w:hAnsi="Arial"/>
                <w:sz w:val="13"/>
                <w:szCs w:val="13"/>
                <w:color w:val="auto"/>
              </w:rPr>
              <w:t>Repurchase and retirement of common stock</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(575,000)</w:t>
            </w:r>
          </w:p>
        </w:tc>
        <w:tc>
          <w:tcPr>
            <w:tcW w:w="8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(14,123)</w:t>
            </w: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(14,130)</w:t>
            </w:r>
          </w:p>
        </w:tc>
        <w:tc>
          <w:tcPr>
            <w:tcW w:w="0" w:type="dxa"/>
            <w:vAlign w:val="bottom"/>
          </w:tcPr>
          <w:p>
            <w:pPr>
              <w:spacing w:after="0"/>
              <w:rPr>
                <w:sz w:val="1"/>
                <w:szCs w:val="1"/>
                <w:color w:val="auto"/>
              </w:rPr>
            </w:pPr>
          </w:p>
        </w:tc>
      </w:tr>
      <w:tr>
        <w:trPr>
          <w:trHeight w:val="182"/>
        </w:trPr>
        <w:tc>
          <w:tcPr>
            <w:tcW w:w="4040" w:type="dxa"/>
            <w:vAlign w:val="bottom"/>
            <w:tcBorders>
              <w:bottom w:val="single" w:sz="8" w:color="CCEDFF"/>
            </w:tcBorders>
            <w:shd w:val="clear" w:color="auto" w:fill="CCEDFF"/>
          </w:tcPr>
          <w:p>
            <w:pPr>
              <w:spacing w:after="0" w:line="142" w:lineRule="exact"/>
              <w:rPr>
                <w:sz w:val="20"/>
                <w:szCs w:val="20"/>
                <w:color w:val="auto"/>
              </w:rPr>
            </w:pPr>
            <w:r>
              <w:rPr>
                <w:rFonts w:ascii="Arial" w:cs="Arial" w:eastAsia="Arial" w:hAnsi="Arial"/>
                <w:sz w:val="13"/>
                <w:szCs w:val="13"/>
                <w:color w:val="auto"/>
              </w:rPr>
              <w:t>Balance at March 31, 2026</w:t>
            </w:r>
          </w:p>
        </w:tc>
        <w:tc>
          <w:tcPr>
            <w:tcW w:w="1120" w:type="dxa"/>
            <w:vAlign w:val="bottom"/>
            <w:tcBorders>
              <w:bottom w:val="single" w:sz="8" w:color="auto"/>
            </w:tcBorders>
            <w:shd w:val="clear" w:color="auto" w:fill="CCEDFF"/>
          </w:tcPr>
          <w:p>
            <w:pPr>
              <w:jc w:val="right"/>
              <w:ind w:right="33"/>
              <w:spacing w:after="0" w:line="142" w:lineRule="exact"/>
              <w:rPr>
                <w:sz w:val="20"/>
                <w:szCs w:val="20"/>
                <w:color w:val="auto"/>
              </w:rPr>
            </w:pPr>
            <w:r>
              <w:rPr>
                <w:rFonts w:ascii="Arial" w:cs="Arial" w:eastAsia="Arial" w:hAnsi="Arial"/>
                <w:sz w:val="13"/>
                <w:szCs w:val="13"/>
                <w:color w:val="auto"/>
              </w:rPr>
              <w:t>68,635,016</w:t>
            </w:r>
          </w:p>
        </w:tc>
        <w:tc>
          <w:tcPr>
            <w:tcW w:w="860" w:type="dxa"/>
            <w:vAlign w:val="bottom"/>
            <w:tcBorders>
              <w:bottom w:val="single" w:sz="8" w:color="auto"/>
            </w:tcBorders>
            <w:shd w:val="clear" w:color="auto" w:fill="CCEDFF"/>
          </w:tcPr>
          <w:p>
            <w:pPr>
              <w:jc w:val="right"/>
              <w:ind w:right="693"/>
              <w:spacing w:after="0" w:line="142" w:lineRule="exact"/>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DFF"/>
          </w:tcPr>
          <w:p>
            <w:pPr>
              <w:jc w:val="right"/>
              <w:ind w:right="33"/>
              <w:spacing w:after="0" w:line="142" w:lineRule="exact"/>
              <w:rPr>
                <w:sz w:val="20"/>
                <w:szCs w:val="20"/>
                <w:color w:val="auto"/>
              </w:rPr>
            </w:pPr>
            <w:r>
              <w:rPr>
                <w:rFonts w:ascii="Arial" w:cs="Arial" w:eastAsia="Arial" w:hAnsi="Arial"/>
                <w:sz w:val="13"/>
                <w:szCs w:val="13"/>
                <w:color w:val="auto"/>
              </w:rPr>
              <w:t>686</w:t>
            </w:r>
          </w:p>
        </w:tc>
        <w:tc>
          <w:tcPr>
            <w:tcW w:w="200" w:type="dxa"/>
            <w:vAlign w:val="bottom"/>
            <w:tcBorders>
              <w:bottom w:val="single" w:sz="8" w:color="auto"/>
            </w:tcBorders>
            <w:gridSpan w:val="2"/>
            <w:shd w:val="clear" w:color="auto" w:fill="CCED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DFF"/>
          </w:tcPr>
          <w:p>
            <w:pPr>
              <w:jc w:val="right"/>
              <w:ind w:right="13"/>
              <w:spacing w:after="0" w:line="142" w:lineRule="exact"/>
              <w:rPr>
                <w:sz w:val="20"/>
                <w:szCs w:val="20"/>
                <w:color w:val="auto"/>
              </w:rPr>
            </w:pPr>
            <w:r>
              <w:rPr>
                <w:rFonts w:ascii="Arial" w:cs="Arial" w:eastAsia="Arial" w:hAnsi="Arial"/>
                <w:sz w:val="13"/>
                <w:szCs w:val="13"/>
                <w:color w:val="auto"/>
              </w:rPr>
              <w:t>769,905</w:t>
            </w:r>
          </w:p>
        </w:tc>
        <w:tc>
          <w:tcPr>
            <w:tcW w:w="200" w:type="dxa"/>
            <w:vAlign w:val="bottom"/>
            <w:tcBorders>
              <w:bottom w:val="single" w:sz="8" w:color="auto"/>
            </w:tcBorders>
            <w:shd w:val="clear" w:color="auto" w:fill="CCEDFF"/>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DFF"/>
          </w:tcPr>
          <w:p>
            <w:pPr>
              <w:jc w:val="right"/>
              <w:ind w:right="33"/>
              <w:spacing w:after="0" w:line="142" w:lineRule="exact"/>
              <w:rPr>
                <w:sz w:val="20"/>
                <w:szCs w:val="20"/>
                <w:color w:val="auto"/>
              </w:rPr>
            </w:pPr>
            <w:r>
              <w:rPr>
                <w:rFonts w:ascii="Arial" w:cs="Arial" w:eastAsia="Arial" w:hAnsi="Arial"/>
                <w:sz w:val="13"/>
                <w:szCs w:val="13"/>
                <w:color w:val="auto"/>
              </w:rPr>
              <w:t>254,480</w:t>
            </w:r>
          </w:p>
        </w:tc>
        <w:tc>
          <w:tcPr>
            <w:tcW w:w="120" w:type="dxa"/>
            <w:vAlign w:val="bottom"/>
            <w:tcBorders>
              <w:bottom w:val="single" w:sz="8" w:color="auto"/>
            </w:tcBorders>
            <w:shd w:val="clear" w:color="auto" w:fill="CCEDFF"/>
          </w:tcPr>
          <w:p>
            <w:pPr>
              <w:jc w:val="right"/>
              <w:spacing w:after="0" w:line="142"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DFF"/>
          </w:tcPr>
          <w:p>
            <w:pPr>
              <w:jc w:val="right"/>
              <w:ind w:right="34"/>
              <w:spacing w:after="0" w:line="142" w:lineRule="exact"/>
              <w:rPr>
                <w:sz w:val="20"/>
                <w:szCs w:val="20"/>
                <w:color w:val="auto"/>
              </w:rPr>
            </w:pPr>
            <w:r>
              <w:rPr>
                <w:rFonts w:ascii="Arial" w:cs="Arial" w:eastAsia="Arial" w:hAnsi="Arial"/>
                <w:sz w:val="13"/>
                <w:szCs w:val="13"/>
                <w:color w:val="auto"/>
              </w:rPr>
              <w:t>5,834</w:t>
            </w:r>
          </w:p>
        </w:tc>
        <w:tc>
          <w:tcPr>
            <w:tcW w:w="100" w:type="dxa"/>
            <w:vAlign w:val="bottom"/>
            <w:tcBorders>
              <w:bottom w:val="single" w:sz="8" w:color="auto"/>
            </w:tcBorders>
            <w:shd w:val="clear" w:color="auto" w:fill="CCEDFF"/>
          </w:tcPr>
          <w:p>
            <w:pPr>
              <w:jc w:val="right"/>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1,030,905</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Innovex International,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Cash Flows</w:t>
      </w: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3"/>
        </w:trPr>
        <w:tc>
          <w:tcPr>
            <w:tcW w:w="75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754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34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320" w:type="dxa"/>
            <w:vAlign w:val="bottom"/>
            <w:shd w:val="clear" w:color="auto" w:fill="CCEDFF"/>
          </w:tcPr>
          <w:p>
            <w:pPr>
              <w:spacing w:after="0"/>
              <w:rPr>
                <w:sz w:val="15"/>
                <w:szCs w:val="15"/>
                <w:color w:val="auto"/>
              </w:rPr>
            </w:pPr>
          </w:p>
        </w:tc>
        <w:tc>
          <w:tcPr>
            <w:tcW w:w="128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(16,671)</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14,757</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220"/>
              <w:spacing w:after="0"/>
              <w:rPr>
                <w:sz w:val="20"/>
                <w:szCs w:val="20"/>
                <w:color w:val="auto"/>
              </w:rPr>
            </w:pPr>
            <w:r>
              <w:rPr>
                <w:rFonts w:ascii="Arial" w:cs="Arial" w:eastAsia="Arial" w:hAnsi="Arial"/>
                <w:sz w:val="16"/>
                <w:szCs w:val="16"/>
                <w:b w:val="1"/>
                <w:bCs w:val="1"/>
                <w:color w:val="auto"/>
              </w:rPr>
              <w:t>Adjustments to reconcile net income to net cash provided by (used in) operating activities:</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16,222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14,945</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300"/>
              <w:spacing w:after="0"/>
              <w:rPr>
                <w:sz w:val="20"/>
                <w:szCs w:val="20"/>
                <w:color w:val="auto"/>
              </w:rPr>
            </w:pPr>
            <w:r>
              <w:rPr>
                <w:rFonts w:ascii="Arial" w:cs="Arial" w:eastAsia="Arial" w:hAnsi="Arial"/>
                <w:sz w:val="16"/>
                <w:szCs w:val="16"/>
                <w:color w:val="auto"/>
              </w:rPr>
              <w:t>Deferred debt issuance cost amortization</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73</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9"/>
        </w:trPr>
        <w:tc>
          <w:tcPr>
            <w:tcW w:w="7540" w:type="dxa"/>
            <w:vAlign w:val="bottom"/>
          </w:tcPr>
          <w:p>
            <w:pPr>
              <w:ind w:left="300"/>
              <w:spacing w:after="0"/>
              <w:rPr>
                <w:sz w:val="20"/>
                <w:szCs w:val="20"/>
                <w:color w:val="auto"/>
              </w:rPr>
            </w:pPr>
            <w:r>
              <w:rPr>
                <w:rFonts w:ascii="Arial" w:cs="Arial" w:eastAsia="Arial" w:hAnsi="Arial"/>
                <w:sz w:val="16"/>
                <w:szCs w:val="16"/>
                <w:color w:val="auto"/>
              </w:rPr>
              <w:t>Amortization of operating lease ROU asset</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3,278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300"/>
              <w:spacing w:after="0"/>
              <w:rPr>
                <w:sz w:val="20"/>
                <w:szCs w:val="20"/>
                <w:color w:val="auto"/>
              </w:rPr>
            </w:pPr>
            <w:r>
              <w:rPr>
                <w:rFonts w:ascii="Arial" w:cs="Arial" w:eastAsia="Arial" w:hAnsi="Arial"/>
                <w:sz w:val="16"/>
                <w:szCs w:val="16"/>
                <w:color w:val="auto"/>
              </w:rPr>
              <w:t>Impairment of long-lived assets</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2,924</w:t>
            </w:r>
          </w:p>
        </w:tc>
        <w:tc>
          <w:tcPr>
            <w:tcW w:w="0" w:type="dxa"/>
            <w:vAlign w:val="bottom"/>
          </w:tcPr>
          <w:p>
            <w:pPr>
              <w:spacing w:after="0"/>
              <w:rPr>
                <w:sz w:val="1"/>
                <w:szCs w:val="1"/>
                <w:color w:val="auto"/>
              </w:rPr>
            </w:pPr>
          </w:p>
        </w:tc>
      </w:tr>
      <w:tr>
        <w:trPr>
          <w:trHeight w:val="189"/>
        </w:trPr>
        <w:tc>
          <w:tcPr>
            <w:tcW w:w="7540" w:type="dxa"/>
            <w:vAlign w:val="bottom"/>
          </w:tcPr>
          <w:p>
            <w:pPr>
              <w:ind w:left="300"/>
              <w:spacing w:after="0"/>
              <w:rPr>
                <w:sz w:val="20"/>
                <w:szCs w:val="20"/>
                <w:color w:val="auto"/>
              </w:rPr>
            </w:pPr>
            <w:r>
              <w:rPr>
                <w:rFonts w:ascii="Arial" w:cs="Arial" w:eastAsia="Arial" w:hAnsi="Arial"/>
                <w:sz w:val="16"/>
                <w:szCs w:val="16"/>
                <w:color w:val="auto"/>
              </w:rPr>
              <w:t>Provision for legal settlement</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48,803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30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2,967</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189"/>
        </w:trPr>
        <w:tc>
          <w:tcPr>
            <w:tcW w:w="7540" w:type="dxa"/>
            <w:vAlign w:val="bottom"/>
          </w:tcPr>
          <w:p>
            <w:pPr>
              <w:ind w:left="300"/>
              <w:spacing w:after="0"/>
              <w:rPr>
                <w:sz w:val="20"/>
                <w:szCs w:val="20"/>
                <w:color w:val="auto"/>
              </w:rPr>
            </w:pPr>
            <w:r>
              <w:rPr>
                <w:rFonts w:ascii="Arial" w:cs="Arial" w:eastAsia="Arial" w:hAnsi="Arial"/>
                <w:sz w:val="16"/>
                <w:szCs w:val="16"/>
                <w:color w:val="auto"/>
              </w:rPr>
              <w:t>(Gain) loss on sale of property, equipment and lease terminations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(2,028)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300"/>
              <w:spacing w:after="0"/>
              <w:rPr>
                <w:sz w:val="20"/>
                <w:szCs w:val="20"/>
                <w:color w:val="auto"/>
              </w:rPr>
            </w:pPr>
            <w:r>
              <w:rPr>
                <w:rFonts w:ascii="Arial" w:cs="Arial" w:eastAsia="Arial" w:hAnsi="Arial"/>
                <w:sz w:val="16"/>
                <w:szCs w:val="16"/>
                <w:color w:val="auto"/>
              </w:rPr>
              <w:t>Deferred tax, net</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4,361</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6,268</w:t>
            </w:r>
          </w:p>
        </w:tc>
        <w:tc>
          <w:tcPr>
            <w:tcW w:w="0" w:type="dxa"/>
            <w:vAlign w:val="bottom"/>
          </w:tcPr>
          <w:p>
            <w:pPr>
              <w:spacing w:after="0"/>
              <w:rPr>
                <w:sz w:val="1"/>
                <w:szCs w:val="1"/>
                <w:color w:val="auto"/>
              </w:rPr>
            </w:pPr>
          </w:p>
        </w:tc>
      </w:tr>
      <w:tr>
        <w:trPr>
          <w:trHeight w:val="189"/>
        </w:trPr>
        <w:tc>
          <w:tcPr>
            <w:tcW w:w="7540" w:type="dxa"/>
            <w:vAlign w:val="bottom"/>
          </w:tcPr>
          <w:p>
            <w:pPr>
              <w:ind w:left="420"/>
              <w:spacing w:after="0"/>
              <w:rPr>
                <w:sz w:val="20"/>
                <w:szCs w:val="20"/>
                <w:color w:val="auto"/>
              </w:rPr>
            </w:pPr>
            <w:r>
              <w:rPr>
                <w:rFonts w:ascii="Arial" w:cs="Arial" w:eastAsia="Arial" w:hAnsi="Arial"/>
                <w:sz w:val="16"/>
                <w:szCs w:val="16"/>
                <w:b w:val="1"/>
                <w:bCs w:val="1"/>
                <w:color w:val="auto"/>
              </w:rPr>
              <w:t>Changes in operating assets and liabilities, net of amounts related to acquisitions: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440"/>
              <w:spacing w:after="0"/>
              <w:rPr>
                <w:sz w:val="20"/>
                <w:szCs w:val="20"/>
                <w:color w:val="auto"/>
              </w:rPr>
            </w:pPr>
            <w:r>
              <w:rPr>
                <w:rFonts w:ascii="Arial" w:cs="Arial" w:eastAsia="Arial" w:hAnsi="Arial"/>
                <w:sz w:val="16"/>
                <w:szCs w:val="16"/>
                <w:color w:val="auto"/>
              </w:rPr>
              <w:t>Trade receivables, net</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(10,319)</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4,721</w:t>
            </w:r>
          </w:p>
        </w:tc>
        <w:tc>
          <w:tcPr>
            <w:tcW w:w="0" w:type="dxa"/>
            <w:vAlign w:val="bottom"/>
          </w:tcPr>
          <w:p>
            <w:pPr>
              <w:spacing w:after="0"/>
              <w:rPr>
                <w:sz w:val="1"/>
                <w:szCs w:val="1"/>
                <w:color w:val="auto"/>
              </w:rPr>
            </w:pPr>
          </w:p>
        </w:tc>
      </w:tr>
      <w:tr>
        <w:trPr>
          <w:trHeight w:val="189"/>
        </w:trPr>
        <w:tc>
          <w:tcPr>
            <w:tcW w:w="7540" w:type="dxa"/>
            <w:vAlign w:val="bottom"/>
          </w:tcPr>
          <w:p>
            <w:pPr>
              <w:ind w:left="44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(3,057)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5,626</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(13,590)</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189"/>
        </w:trPr>
        <w:tc>
          <w:tcPr>
            <w:tcW w:w="7540" w:type="dxa"/>
            <w:vAlign w:val="bottom"/>
          </w:tcPr>
          <w:p>
            <w:pPr>
              <w:ind w:left="440"/>
              <w:spacing w:after="0"/>
              <w:rPr>
                <w:sz w:val="20"/>
                <w:szCs w:val="20"/>
                <w:color w:val="auto"/>
              </w:rPr>
            </w:pPr>
            <w:r>
              <w:rPr>
                <w:rFonts w:ascii="Arial" w:cs="Arial" w:eastAsia="Arial" w:hAnsi="Arial"/>
                <w:sz w:val="16"/>
                <w:szCs w:val="16"/>
                <w:color w:val="auto"/>
              </w:rPr>
              <w:t>Other long-term assets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636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4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14,025</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10,807</w:t>
            </w:r>
          </w:p>
        </w:tc>
        <w:tc>
          <w:tcPr>
            <w:tcW w:w="0" w:type="dxa"/>
            <w:vAlign w:val="bottom"/>
          </w:tcPr>
          <w:p>
            <w:pPr>
              <w:spacing w:after="0"/>
              <w:rPr>
                <w:sz w:val="1"/>
                <w:szCs w:val="1"/>
                <w:color w:val="auto"/>
              </w:rPr>
            </w:pPr>
          </w:p>
        </w:tc>
      </w:tr>
      <w:tr>
        <w:trPr>
          <w:trHeight w:val="189"/>
        </w:trPr>
        <w:tc>
          <w:tcPr>
            <w:tcW w:w="7540" w:type="dxa"/>
            <w:vAlign w:val="bottom"/>
          </w:tcPr>
          <w:p>
            <w:pPr>
              <w:ind w:left="44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(13,269)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(21,860)</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DFF"/>
            </w:tcBorders>
            <w:shd w:val="clear" w:color="auto" w:fill="CCEDFF"/>
          </w:tcPr>
          <w:p>
            <w:pPr>
              <w:ind w:left="440"/>
              <w:spacing w:after="0"/>
              <w:rPr>
                <w:sz w:val="20"/>
                <w:szCs w:val="20"/>
                <w:color w:val="auto"/>
              </w:rPr>
            </w:pPr>
            <w:r>
              <w:rPr>
                <w:rFonts w:ascii="Arial" w:cs="Arial" w:eastAsia="Arial" w:hAnsi="Arial"/>
                <w:sz w:val="16"/>
                <w:szCs w:val="16"/>
                <w:color w:val="auto"/>
              </w:rPr>
              <w:t>Other operating assets and liabilities, net</w:t>
            </w:r>
          </w:p>
        </w:tc>
        <w:tc>
          <w:tcPr>
            <w:tcW w:w="34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3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(11,591)</w:t>
            </w:r>
          </w:p>
        </w:tc>
        <w:tc>
          <w:tcPr>
            <w:tcW w:w="160" w:type="dxa"/>
            <w:vAlign w:val="bottom"/>
            <w:tcBorders>
              <w:bottom w:val="single" w:sz="8" w:color="CCEDFF"/>
            </w:tcBorders>
            <w:shd w:val="clear" w:color="auto" w:fill="CCEDFF"/>
          </w:tcPr>
          <w:p>
            <w:pPr>
              <w:spacing w:after="0"/>
              <w:rPr>
                <w:sz w:val="16"/>
                <w:szCs w:val="16"/>
                <w:color w:val="auto"/>
              </w:rPr>
            </w:pPr>
          </w:p>
        </w:tc>
        <w:tc>
          <w:tcPr>
            <w:tcW w:w="320" w:type="dxa"/>
            <w:vAlign w:val="bottom"/>
            <w:tcBorders>
              <w:bottom w:val="single" w:sz="8" w:color="auto"/>
            </w:tcBorders>
            <w:shd w:val="clear" w:color="auto" w:fill="CCEDFF"/>
          </w:tcPr>
          <w:p>
            <w:pPr>
              <w:spacing w:after="0"/>
              <w:rPr>
                <w:sz w:val="16"/>
                <w:szCs w:val="16"/>
                <w:color w:val="auto"/>
              </w:rPr>
            </w:pPr>
          </w:p>
        </w:tc>
        <w:tc>
          <w:tcPr>
            <w:tcW w:w="12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(11,657)</w:t>
            </w:r>
          </w:p>
        </w:tc>
        <w:tc>
          <w:tcPr>
            <w:tcW w:w="0" w:type="dxa"/>
            <w:vAlign w:val="bottom"/>
          </w:tcPr>
          <w:p>
            <w:pPr>
              <w:spacing w:after="0"/>
              <w:rPr>
                <w:sz w:val="1"/>
                <w:szCs w:val="1"/>
                <w:color w:val="auto"/>
              </w:rPr>
            </w:pPr>
          </w:p>
        </w:tc>
      </w:tr>
      <w:tr>
        <w:trPr>
          <w:trHeight w:val="183"/>
        </w:trPr>
        <w:tc>
          <w:tcPr>
            <w:tcW w:w="7540" w:type="dxa"/>
            <w:vAlign w:val="bottom"/>
          </w:tcPr>
          <w:p>
            <w:pPr>
              <w:ind w:left="58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19,840</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31,090</w:t>
            </w:r>
          </w:p>
        </w:tc>
        <w:tc>
          <w:tcPr>
            <w:tcW w:w="0" w:type="dxa"/>
            <w:vAlign w:val="bottom"/>
          </w:tcPr>
          <w:p>
            <w:pPr>
              <w:spacing w:after="0"/>
              <w:rPr>
                <w:sz w:val="1"/>
                <w:szCs w:val="1"/>
                <w:color w:val="auto"/>
              </w:rPr>
            </w:pPr>
          </w:p>
        </w:tc>
      </w:tr>
      <w:tr>
        <w:trPr>
          <w:trHeight w:val="183"/>
        </w:trPr>
        <w:tc>
          <w:tcPr>
            <w:tcW w:w="754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34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320" w:type="dxa"/>
            <w:vAlign w:val="bottom"/>
            <w:shd w:val="clear" w:color="auto" w:fill="CCEDFF"/>
          </w:tcPr>
          <w:p>
            <w:pPr>
              <w:spacing w:after="0"/>
              <w:rPr>
                <w:sz w:val="15"/>
                <w:szCs w:val="15"/>
                <w:color w:val="auto"/>
              </w:rPr>
            </w:pPr>
          </w:p>
        </w:tc>
        <w:tc>
          <w:tcPr>
            <w:tcW w:w="128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Payments on acquisitions, net of cash acquired</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(17,413)</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Capital expenditures</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(5,827)</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(7,056)</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DFF"/>
            </w:tcBorders>
          </w:tcPr>
          <w:p>
            <w:pPr>
              <w:ind w:left="160"/>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tcBorders>
              <w:bottom w:val="single" w:sz="8" w:color="CCED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w:t>
            </w:r>
          </w:p>
        </w:tc>
        <w:tc>
          <w:tcPr>
            <w:tcW w:w="160" w:type="dxa"/>
            <w:vAlign w:val="bottom"/>
            <w:tcBorders>
              <w:bottom w:val="single" w:sz="8" w:color="CCED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CCEDFF"/>
            </w:tcBorders>
            <w:shd w:val="clear" w:color="auto" w:fill="CCEDFF"/>
          </w:tcPr>
          <w:p>
            <w:pPr>
              <w:ind w:left="580"/>
              <w:spacing w:after="0" w:line="183" w:lineRule="exact"/>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DFF"/>
            </w:tcBorders>
            <w:shd w:val="clear" w:color="auto" w:fill="CCEDFF"/>
          </w:tcPr>
          <w:p>
            <w:pPr>
              <w:spacing w:after="0"/>
              <w:rPr>
                <w:sz w:val="15"/>
                <w:szCs w:val="15"/>
                <w:color w:val="auto"/>
              </w:rPr>
            </w:pPr>
          </w:p>
        </w:tc>
        <w:tc>
          <w:tcPr>
            <w:tcW w:w="260" w:type="dxa"/>
            <w:vAlign w:val="bottom"/>
            <w:tcBorders>
              <w:bottom w:val="single" w:sz="8" w:color="auto"/>
            </w:tcBorders>
            <w:shd w:val="clear" w:color="auto" w:fill="CCEDFF"/>
          </w:tcPr>
          <w:p>
            <w:pPr>
              <w:spacing w:after="0"/>
              <w:rPr>
                <w:sz w:val="15"/>
                <w:szCs w:val="15"/>
                <w:color w:val="auto"/>
              </w:rPr>
            </w:pPr>
          </w:p>
        </w:tc>
        <w:tc>
          <w:tcPr>
            <w:tcW w:w="1340" w:type="dxa"/>
            <w:vAlign w:val="bottom"/>
            <w:tcBorders>
              <w:bottom w:val="single" w:sz="8" w:color="auto"/>
            </w:tcBorders>
            <w:shd w:val="clear" w:color="auto" w:fill="CCEDFF"/>
          </w:tcPr>
          <w:p>
            <w:pPr>
              <w:jc w:val="right"/>
              <w:spacing w:after="0" w:line="183" w:lineRule="exact"/>
              <w:rPr>
                <w:sz w:val="20"/>
                <w:szCs w:val="20"/>
                <w:color w:val="auto"/>
              </w:rPr>
            </w:pPr>
            <w:r>
              <w:rPr>
                <w:rFonts w:ascii="Arial" w:cs="Arial" w:eastAsia="Arial" w:hAnsi="Arial"/>
                <w:sz w:val="16"/>
                <w:szCs w:val="16"/>
                <w:color w:val="auto"/>
              </w:rPr>
              <w:t>(5,625)</w:t>
            </w:r>
          </w:p>
        </w:tc>
        <w:tc>
          <w:tcPr>
            <w:tcW w:w="160" w:type="dxa"/>
            <w:vAlign w:val="bottom"/>
            <w:tcBorders>
              <w:bottom w:val="single" w:sz="8" w:color="CCEDFF"/>
            </w:tcBorders>
            <w:shd w:val="clear" w:color="auto" w:fill="CCEDFF"/>
          </w:tcPr>
          <w:p>
            <w:pPr>
              <w:spacing w:after="0"/>
              <w:rPr>
                <w:sz w:val="15"/>
                <w:szCs w:val="15"/>
                <w:color w:val="auto"/>
              </w:rPr>
            </w:pPr>
          </w:p>
        </w:tc>
        <w:tc>
          <w:tcPr>
            <w:tcW w:w="320" w:type="dxa"/>
            <w:vAlign w:val="bottom"/>
            <w:tcBorders>
              <w:bottom w:val="single" w:sz="8" w:color="auto"/>
            </w:tcBorders>
            <w:shd w:val="clear" w:color="auto" w:fill="CCEDFF"/>
          </w:tcPr>
          <w:p>
            <w:pPr>
              <w:spacing w:after="0"/>
              <w:rPr>
                <w:sz w:val="15"/>
                <w:szCs w:val="15"/>
                <w:color w:val="auto"/>
              </w:rPr>
            </w:pPr>
          </w:p>
        </w:tc>
        <w:tc>
          <w:tcPr>
            <w:tcW w:w="1280" w:type="dxa"/>
            <w:vAlign w:val="bottom"/>
            <w:tcBorders>
              <w:bottom w:val="single" w:sz="8" w:color="auto"/>
            </w:tcBorders>
            <w:shd w:val="clear" w:color="auto" w:fill="CCEDFF"/>
          </w:tcPr>
          <w:p>
            <w:pPr>
              <w:jc w:val="right"/>
              <w:spacing w:after="0" w:line="183" w:lineRule="exact"/>
              <w:rPr>
                <w:sz w:val="20"/>
                <w:szCs w:val="20"/>
                <w:color w:val="auto"/>
              </w:rPr>
            </w:pPr>
            <w:r>
              <w:rPr>
                <w:rFonts w:ascii="Arial" w:cs="Arial" w:eastAsia="Arial" w:hAnsi="Arial"/>
                <w:sz w:val="16"/>
                <w:szCs w:val="16"/>
                <w:color w:val="auto"/>
              </w:rPr>
              <w:t>(23,466)</w:t>
            </w:r>
          </w:p>
        </w:tc>
        <w:tc>
          <w:tcPr>
            <w:tcW w:w="0" w:type="dxa"/>
            <w:vAlign w:val="bottom"/>
          </w:tcPr>
          <w:p>
            <w:pPr>
              <w:spacing w:after="0"/>
              <w:rPr>
                <w:sz w:val="1"/>
                <w:szCs w:val="1"/>
                <w:color w:val="auto"/>
              </w:rPr>
            </w:pPr>
          </w:p>
        </w:tc>
      </w:tr>
      <w:tr>
        <w:trPr>
          <w:trHeight w:val="183"/>
        </w:trPr>
        <w:tc>
          <w:tcPr>
            <w:tcW w:w="754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Deferred debt issuance cost</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Revolving credit facility borrowings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80,450</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Revolving credit facility payments</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(78,850)</w:t>
            </w: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Term loan payments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(11,429)</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Payments on finance leases</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(2,070)</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Common stock repurchased and retired</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(14,130)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DFF"/>
            </w:tcBorders>
            <w:shd w:val="clear" w:color="auto" w:fill="CCEDFF"/>
          </w:tcPr>
          <w:p>
            <w:pPr>
              <w:ind w:left="160"/>
              <w:spacing w:after="0"/>
              <w:rPr>
                <w:sz w:val="20"/>
                <w:szCs w:val="20"/>
                <w:color w:val="auto"/>
              </w:rPr>
            </w:pPr>
            <w:r>
              <w:rPr>
                <w:rFonts w:ascii="Arial" w:cs="Arial" w:eastAsia="Arial" w:hAnsi="Arial"/>
                <w:sz w:val="16"/>
                <w:szCs w:val="16"/>
                <w:color w:val="auto"/>
              </w:rPr>
              <w:t>Taxes paid related to net share settlement of equity awards</w:t>
            </w:r>
          </w:p>
        </w:tc>
        <w:tc>
          <w:tcPr>
            <w:tcW w:w="34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3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(710)</w:t>
            </w:r>
          </w:p>
        </w:tc>
        <w:tc>
          <w:tcPr>
            <w:tcW w:w="160" w:type="dxa"/>
            <w:vAlign w:val="bottom"/>
            <w:tcBorders>
              <w:bottom w:val="single" w:sz="8" w:color="CCEDFF"/>
            </w:tcBorders>
            <w:shd w:val="clear" w:color="auto" w:fill="CCEDFF"/>
          </w:tcPr>
          <w:p>
            <w:pPr>
              <w:spacing w:after="0"/>
              <w:rPr>
                <w:sz w:val="16"/>
                <w:szCs w:val="16"/>
                <w:color w:val="auto"/>
              </w:rPr>
            </w:pPr>
          </w:p>
        </w:tc>
        <w:tc>
          <w:tcPr>
            <w:tcW w:w="320" w:type="dxa"/>
            <w:vAlign w:val="bottom"/>
            <w:tcBorders>
              <w:bottom w:val="single" w:sz="8" w:color="auto"/>
            </w:tcBorders>
            <w:shd w:val="clear" w:color="auto" w:fill="CCEDFF"/>
          </w:tcPr>
          <w:p>
            <w:pPr>
              <w:spacing w:after="0"/>
              <w:rPr>
                <w:sz w:val="16"/>
                <w:szCs w:val="16"/>
                <w:color w:val="auto"/>
              </w:rPr>
            </w:pPr>
          </w:p>
        </w:tc>
        <w:tc>
          <w:tcPr>
            <w:tcW w:w="128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83"/>
        </w:trPr>
        <w:tc>
          <w:tcPr>
            <w:tcW w:w="7540" w:type="dxa"/>
            <w:vAlign w:val="bottom"/>
          </w:tcPr>
          <w:p>
            <w:pPr>
              <w:ind w:left="580"/>
              <w:spacing w:after="0" w:line="183" w:lineRule="exact"/>
              <w:rPr>
                <w:sz w:val="20"/>
                <w:szCs w:val="20"/>
                <w:color w:val="auto"/>
              </w:rPr>
            </w:pPr>
            <w:r>
              <w:rPr>
                <w:rFonts w:ascii="Arial" w:cs="Arial" w:eastAsia="Arial" w:hAnsi="Arial"/>
                <w:sz w:val="16"/>
                <w:szCs w:val="16"/>
                <w:color w:val="auto"/>
              </w:rPr>
              <w:t>Net cash used in financing activities</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(16,910)</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(13,399)</w:t>
            </w:r>
          </w:p>
        </w:tc>
        <w:tc>
          <w:tcPr>
            <w:tcW w:w="0" w:type="dxa"/>
            <w:vAlign w:val="bottom"/>
          </w:tcPr>
          <w:p>
            <w:pPr>
              <w:spacing w:after="0"/>
              <w:rPr>
                <w:sz w:val="1"/>
                <w:szCs w:val="1"/>
                <w:color w:val="auto"/>
              </w:rPr>
            </w:pPr>
          </w:p>
        </w:tc>
      </w:tr>
      <w:tr>
        <w:trPr>
          <w:trHeight w:val="183"/>
        </w:trPr>
        <w:tc>
          <w:tcPr>
            <w:tcW w:w="754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Effect of exchange rate changes</w:t>
            </w:r>
          </w:p>
        </w:tc>
        <w:tc>
          <w:tcPr>
            <w:tcW w:w="34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34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(5)</w:t>
            </w:r>
          </w:p>
        </w:tc>
        <w:tc>
          <w:tcPr>
            <w:tcW w:w="160" w:type="dxa"/>
            <w:vAlign w:val="bottom"/>
            <w:shd w:val="clear" w:color="auto" w:fill="CCEDFF"/>
          </w:tcPr>
          <w:p>
            <w:pPr>
              <w:spacing w:after="0"/>
              <w:rPr>
                <w:sz w:val="15"/>
                <w:szCs w:val="15"/>
                <w:color w:val="auto"/>
              </w:rPr>
            </w:pPr>
          </w:p>
        </w:tc>
        <w:tc>
          <w:tcPr>
            <w:tcW w:w="320" w:type="dxa"/>
            <w:vAlign w:val="bottom"/>
            <w:shd w:val="clear" w:color="auto" w:fill="CCEDFF"/>
          </w:tcPr>
          <w:p>
            <w:pPr>
              <w:spacing w:after="0"/>
              <w:rPr>
                <w:sz w:val="15"/>
                <w:szCs w:val="15"/>
                <w:color w:val="auto"/>
              </w:rPr>
            </w:pPr>
          </w:p>
        </w:tc>
        <w:tc>
          <w:tcPr>
            <w:tcW w:w="12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Net change in cash and restricted cash</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(2,700)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(5,162)</w:t>
            </w:r>
          </w:p>
        </w:tc>
        <w:tc>
          <w:tcPr>
            <w:tcW w:w="0" w:type="dxa"/>
            <w:vAlign w:val="bottom"/>
          </w:tcPr>
          <w:p>
            <w:pPr>
              <w:spacing w:after="0"/>
              <w:rPr>
                <w:sz w:val="1"/>
                <w:szCs w:val="1"/>
                <w:color w:val="auto"/>
              </w:rPr>
            </w:pPr>
          </w:p>
        </w:tc>
      </w:tr>
      <w:tr>
        <w:trPr>
          <w:trHeight w:val="189"/>
        </w:trPr>
        <w:tc>
          <w:tcPr>
            <w:tcW w:w="754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Cash and restricted cash beginning of period</w:t>
            </w:r>
          </w:p>
        </w:tc>
        <w:tc>
          <w:tcPr>
            <w:tcW w:w="34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3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203,407</w:t>
            </w:r>
          </w:p>
        </w:tc>
        <w:tc>
          <w:tcPr>
            <w:tcW w:w="160" w:type="dxa"/>
            <w:vAlign w:val="bottom"/>
            <w:tcBorders>
              <w:bottom w:val="single" w:sz="8" w:color="CCEDFF"/>
            </w:tcBorders>
            <w:shd w:val="clear" w:color="auto" w:fill="CCEDFF"/>
          </w:tcPr>
          <w:p>
            <w:pPr>
              <w:spacing w:after="0"/>
              <w:rPr>
                <w:sz w:val="16"/>
                <w:szCs w:val="16"/>
                <w:color w:val="auto"/>
              </w:rPr>
            </w:pPr>
          </w:p>
        </w:tc>
        <w:tc>
          <w:tcPr>
            <w:tcW w:w="320" w:type="dxa"/>
            <w:vAlign w:val="bottom"/>
            <w:tcBorders>
              <w:bottom w:val="single" w:sz="8" w:color="auto"/>
            </w:tcBorders>
            <w:shd w:val="clear" w:color="auto" w:fill="CCEDFF"/>
          </w:tcPr>
          <w:p>
            <w:pPr>
              <w:spacing w:after="0"/>
              <w:rPr>
                <w:sz w:val="16"/>
                <w:szCs w:val="16"/>
                <w:color w:val="auto"/>
              </w:rPr>
            </w:pPr>
          </w:p>
        </w:tc>
        <w:tc>
          <w:tcPr>
            <w:tcW w:w="12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73,278</w:t>
            </w:r>
          </w:p>
        </w:tc>
        <w:tc>
          <w:tcPr>
            <w:tcW w:w="0" w:type="dxa"/>
            <w:vAlign w:val="bottom"/>
          </w:tcPr>
          <w:p>
            <w:pPr>
              <w:spacing w:after="0"/>
              <w:rPr>
                <w:sz w:val="1"/>
                <w:szCs w:val="1"/>
                <w:color w:val="auto"/>
              </w:rPr>
            </w:pPr>
          </w:p>
        </w:tc>
      </w:tr>
      <w:tr>
        <w:trPr>
          <w:trHeight w:val="183"/>
        </w:trPr>
        <w:tc>
          <w:tcPr>
            <w:tcW w:w="7540" w:type="dxa"/>
            <w:vAlign w:val="bottom"/>
          </w:tcPr>
          <w:p>
            <w:pPr>
              <w:spacing w:after="0" w:line="169" w:lineRule="exact"/>
              <w:rPr>
                <w:sz w:val="20"/>
                <w:szCs w:val="20"/>
                <w:color w:val="auto"/>
              </w:rPr>
            </w:pPr>
            <w:r>
              <w:rPr>
                <w:rFonts w:ascii="Arial" w:cs="Arial" w:eastAsia="Arial" w:hAnsi="Arial"/>
                <w:sz w:val="16"/>
                <w:szCs w:val="16"/>
                <w:color w:val="auto"/>
              </w:rPr>
              <w:t>Cash and restricted cash end of period</w:t>
            </w:r>
          </w:p>
        </w:tc>
        <w:tc>
          <w:tcPr>
            <w:tcW w:w="60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200,707</w:t>
            </w:r>
          </w:p>
        </w:tc>
        <w:tc>
          <w:tcPr>
            <w:tcW w:w="480" w:type="dxa"/>
            <w:vAlign w:val="bottom"/>
            <w:gridSpan w:val="2"/>
          </w:tcPr>
          <w:p>
            <w:pPr>
              <w:jc w:val="right"/>
              <w:ind w:right="240"/>
              <w:spacing w:after="0" w:line="169"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68,116</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40" w:type="dxa"/>
            <w:vAlign w:val="bottom"/>
            <w:shd w:val="clear" w:color="auto" w:fill="CCEDFF"/>
          </w:tcPr>
          <w:p>
            <w:pPr>
              <w:spacing w:after="0" w:line="170" w:lineRule="exact"/>
              <w:rPr>
                <w:sz w:val="20"/>
                <w:szCs w:val="20"/>
                <w:color w:val="auto"/>
              </w:rPr>
            </w:pPr>
            <w:r>
              <w:rPr>
                <w:rFonts w:ascii="Arial" w:cs="Arial" w:eastAsia="Arial" w:hAnsi="Arial"/>
                <w:sz w:val="16"/>
                <w:szCs w:val="16"/>
                <w:b w:val="1"/>
                <w:bCs w:val="1"/>
                <w:color w:val="auto"/>
              </w:rPr>
              <w:t>Supplemental cash flow information:</w:t>
            </w:r>
          </w:p>
        </w:tc>
        <w:tc>
          <w:tcPr>
            <w:tcW w:w="340" w:type="dxa"/>
            <w:vAlign w:val="bottom"/>
            <w:shd w:val="clear" w:color="auto" w:fill="CCEDFF"/>
          </w:tcPr>
          <w:p>
            <w:pPr>
              <w:spacing w:after="0"/>
              <w:rPr>
                <w:sz w:val="14"/>
                <w:szCs w:val="14"/>
                <w:color w:val="auto"/>
              </w:rPr>
            </w:pPr>
          </w:p>
        </w:tc>
        <w:tc>
          <w:tcPr>
            <w:tcW w:w="260" w:type="dxa"/>
            <w:vAlign w:val="bottom"/>
            <w:shd w:val="clear" w:color="auto" w:fill="CCEDFF"/>
          </w:tcPr>
          <w:p>
            <w:pPr>
              <w:spacing w:after="0"/>
              <w:rPr>
                <w:sz w:val="14"/>
                <w:szCs w:val="14"/>
                <w:color w:val="auto"/>
              </w:rPr>
            </w:pPr>
          </w:p>
        </w:tc>
        <w:tc>
          <w:tcPr>
            <w:tcW w:w="1340" w:type="dxa"/>
            <w:vAlign w:val="bottom"/>
            <w:shd w:val="clear" w:color="auto" w:fill="CCEDFF"/>
          </w:tcPr>
          <w:p>
            <w:pPr>
              <w:spacing w:after="0"/>
              <w:rPr>
                <w:sz w:val="14"/>
                <w:szCs w:val="14"/>
                <w:color w:val="auto"/>
              </w:rPr>
            </w:pPr>
          </w:p>
        </w:tc>
        <w:tc>
          <w:tcPr>
            <w:tcW w:w="160" w:type="dxa"/>
            <w:vAlign w:val="bottom"/>
            <w:shd w:val="clear" w:color="auto" w:fill="CCEDFF"/>
          </w:tcPr>
          <w:p>
            <w:pPr>
              <w:spacing w:after="0"/>
              <w:rPr>
                <w:sz w:val="14"/>
                <w:szCs w:val="14"/>
                <w:color w:val="auto"/>
              </w:rPr>
            </w:pPr>
          </w:p>
        </w:tc>
        <w:tc>
          <w:tcPr>
            <w:tcW w:w="320" w:type="dxa"/>
            <w:vAlign w:val="bottom"/>
            <w:shd w:val="clear" w:color="auto" w:fill="CCEDFF"/>
          </w:tcPr>
          <w:p>
            <w:pPr>
              <w:spacing w:after="0"/>
              <w:rPr>
                <w:sz w:val="14"/>
                <w:szCs w:val="14"/>
                <w:color w:val="auto"/>
              </w:rPr>
            </w:pPr>
          </w:p>
        </w:tc>
        <w:tc>
          <w:tcPr>
            <w:tcW w:w="1280" w:type="dxa"/>
            <w:vAlign w:val="bottom"/>
            <w:shd w:val="clear" w:color="auto" w:fill="CCED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Cash paid for interest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spacing w:after="0"/>
              <w:rPr>
                <w:sz w:val="20"/>
                <w:szCs w:val="20"/>
                <w:color w:val="auto"/>
              </w:rPr>
            </w:pPr>
            <w:r>
              <w:rPr>
                <w:rFonts w:ascii="Arial" w:cs="Arial" w:eastAsia="Arial" w:hAnsi="Arial"/>
                <w:sz w:val="16"/>
                <w:szCs w:val="16"/>
                <w:color w:val="auto"/>
              </w:rPr>
              <w:t>Cash paid (received) for income taxes, net of refunds</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(151)</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4,954</w:t>
            </w:r>
          </w:p>
        </w:tc>
        <w:tc>
          <w:tcPr>
            <w:tcW w:w="0" w:type="dxa"/>
            <w:vAlign w:val="bottom"/>
          </w:tcPr>
          <w:p>
            <w:pPr>
              <w:spacing w:after="0"/>
              <w:rPr>
                <w:sz w:val="1"/>
                <w:szCs w:val="1"/>
                <w:color w:val="auto"/>
              </w:rPr>
            </w:pP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Property and equipment purchases in accounts payable</w:t>
            </w:r>
          </w:p>
        </w:tc>
        <w:tc>
          <w:tcPr>
            <w:tcW w:w="600" w:type="dxa"/>
            <w:vAlign w:val="bottom"/>
            <w:gridSpan w:val="2"/>
            <w:shd w:val="clear" w:color="auto" w:fill="CCEDFF"/>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223</w:t>
            </w:r>
          </w:p>
        </w:tc>
        <w:tc>
          <w:tcPr>
            <w:tcW w:w="480" w:type="dxa"/>
            <w:vAlign w:val="bottom"/>
            <w:gridSpan w:val="2"/>
            <w:shd w:val="clear" w:color="auto" w:fill="CCED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Operating lease assets obtained in exchange for lease obligations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2,597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6,277</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Finance lease assets obtained in exchange for lease obligations</w:t>
            </w:r>
          </w:p>
        </w:tc>
        <w:tc>
          <w:tcPr>
            <w:tcW w:w="34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672</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1,929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-3205480</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-2600960</wp:posOffset>
            </wp:positionV>
            <wp:extent cx="12827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270" cy="1625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-1490980</wp:posOffset>
            </wp:positionV>
            <wp:extent cx="102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-993775</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Innovex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SUMMARY OF BUSINESS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12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Innovex International, Inc. (“Innovex”, the “Company”, the “Combined Company”, or “we”) designs, manufactures, sells, and rents a broad suite of well-centric, engineered products to the global oil and natural gas industry. Our products are sold and rented to international oil companies, national oil companies, independent exploration and production companies, and multinational service companies. The products we provide have applications across the well lifecycle for both onshore and offshore oil and natural gas wells, including well construction, well completion, and well production and intervention applications. Our corporate office is located in Humble, Texas.</w:t>
      </w:r>
    </w:p>
    <w:p>
      <w:pPr>
        <w:spacing w:after="0" w:line="11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March 18, 2024, Innovex Downhole Solutions, Inc., a Delaware corporation (“Legacy Innovex”), entered into an Agreement and Plan of Merger (the “Merger Agreement”) with Dril-Quip, Inc., a Delaware corporation (“Dril-Quip”), Ironman Merger Sub, Inc., a Delaware corporation and wholly owned subsidiary of Dril-Quip, and DQ Merger Sub, LLC, a Delaware limited liability company and wholly owned subsidiary of Dril-Quip. On September 6, 2024, the transactions contemplated in the Merger Agreement (the “Merger”) were consummated. Following the Merger, Legacy Innovex became a wholly owned subsidiary of Dril-Quip, and the name “Dril-Quip, Inc.” was changed to “Innovex International, Inc.” The Company’s stock remained listed on the New York Stock Exchange, and its symbol was changed to “INVX”. Except as otherwise indicated, references herein to “Dril-Quip” are to Dril-Quip, Inc. prior to the completion of the Merger. See our Annual Report on Form 10-K filed with the Securities and Exchange Commission on February 24, 2026 (the “Annual Report”) for further details.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Merger was accounted for using the acquisition method of accounting with Legacy Innovex being identified as the accounting acquirer. The Consolidated Financial Statements of the Company reflect the financial position, results of operations and cash flows of only Legacy Innovex for all periods prior to the Merger and of the Combined Company for all periods subsequent to the Merger.</w:t>
      </w:r>
    </w:p>
    <w:p>
      <w:pPr>
        <w:spacing w:after="0" w:line="9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In connection with the consummation of the Merger, the outstanding shares of common stock, par value $0.01 per share, of Legacy Innovex (the “Legacy Innovex Common Stock”) were converted into the right to receive </w:t>
      </w:r>
      <w:r>
        <w:rPr>
          <w:rFonts w:ascii="Arial" w:cs="Arial" w:eastAsia="Arial" w:hAnsi="Arial"/>
          <w:sz w:val="17"/>
          <w:szCs w:val="17"/>
          <w:color w:val="212529"/>
        </w:rPr>
        <w:t>32,183,966</w:t>
      </w:r>
      <w:r>
        <w:rPr>
          <w:rFonts w:ascii="Arial" w:cs="Arial" w:eastAsia="Arial" w:hAnsi="Arial"/>
          <w:sz w:val="17"/>
          <w:szCs w:val="17"/>
          <w:color w:val="auto"/>
        </w:rPr>
        <w:t xml:space="preserve"> shares of common stock, par value $0.01 per share, of the Company (the “Company Common Stock”). The number of shares of Company Common Stock received for each share of Legacy Innovex Common Stock by the Legacy Innovex shareholders was equal to 2.0125.</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On November 29, 2024, we acquired the remaining 80% of the issued and outstanding equity securities of Downhole Well Solutions, LLC (“DWS”) for a mixture of cash and equity consideration, resulting in DWS becoming a wholly owned subsidiary of Innovex. See our Annual Report for further details.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On February 7, 2025, we acquired SCF Machining Corporation (“SCF”) for cash, resulting in SCF becoming a wholly owned subsidiary of Innovex.</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3. Mergers and Acquisitions</w:t>
      </w:r>
      <w:r>
        <w:rPr>
          <w:rFonts w:ascii="Arial" w:cs="Arial" w:eastAsia="Arial" w:hAnsi="Arial"/>
          <w:sz w:val="17"/>
          <w:szCs w:val="17"/>
          <w:color w:val="auto"/>
        </w:rPr>
        <w:t xml:space="preserve">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-16510</wp:posOffset>
            </wp:positionV>
            <wp:extent cx="15976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97660" cy="8890"/>
                    </a:xfrm>
                    <a:prstGeom prst="rect">
                      <a:avLst/>
                    </a:prstGeom>
                    <a:noFill/>
                  </pic:spPr>
                </pic:pic>
              </a:graphicData>
            </a:graphic>
          </wp:anchor>
        </w:drawing>
      </w:r>
    </w:p>
    <w:p>
      <w:pPr>
        <w:spacing w:after="0" w:line="9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February 25, 2025, our Board of Directors (the “Board”) approved a share repurchase program (the “Share Repurchase Program”) that authorizes repurchases of up to an aggregate of $100 million of outstanding Company Common Stock. In connection with the Share Repurchase Program, all share repurchase plans previously authorized by the board of directors of Dril-Quip have been terminated. The Share Repurchase Program does not require the Company to repurchase a specific number of shares or have an expiration date. Any shares repurchased under the Share Repurchase Program will be cancelled.</w:t>
      </w:r>
    </w:p>
    <w:p>
      <w:pPr>
        <w:spacing w:after="0" w:line="11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the second quarter of 2025, our certificate of incorporation was amended to increase the number of capital stock authorized for issuance. Prior to the amendment, the certificate of incorporation authorized the Company to issue 110,000,000 shares of capital stock, consisting of (i) 100,000,000 shares of Company Common Stock, par value $0.01 per share, and (ii) 10,000,000 shares of preferred stock, par value $0.01 per share. The amendment increased the number of authorized shares of Company Common Stock to 200,000,000 and correspondingly increased the number of authorized shares of our capital stock to 210,000,000; the authorized number of shares of our preferred stock remained at 10,000,000.</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On May 30, 2025, we acquired Citadel Casing Solutions, LLC (“Citadel”) for cash, resulting in Citadel becoming a wholly owned subsidiary of Innovex. Refer to </w:t>
      </w:r>
      <w:r>
        <w:rPr>
          <w:rFonts w:ascii="Arial" w:cs="Arial" w:eastAsia="Arial" w:hAnsi="Arial"/>
          <w:sz w:val="17"/>
          <w:szCs w:val="17"/>
          <w:i w:val="1"/>
          <w:iCs w:val="1"/>
          <w:color w:val="auto"/>
        </w:rPr>
        <w:t>Note 3. Mergers and Acquisitions</w:t>
      </w:r>
      <w:r>
        <w:rPr>
          <w:rFonts w:ascii="Arial" w:cs="Arial" w:eastAsia="Arial" w:hAnsi="Arial"/>
          <w:sz w:val="17"/>
          <w:szCs w:val="17"/>
          <w:color w:val="auto"/>
        </w:rPr>
        <w:t xml:space="preserve">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-38735</wp:posOffset>
            </wp:positionV>
            <wp:extent cx="15976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97660" cy="8255"/>
                    </a:xfrm>
                    <a:prstGeom prst="rect">
                      <a:avLst/>
                    </a:prstGeom>
                    <a:noFill/>
                  </pic:spPr>
                </pic:pic>
              </a:graphicData>
            </a:graphic>
          </wp:anchor>
        </w:drawing>
      </w:r>
    </w:p>
    <w:p>
      <w:pPr>
        <w:spacing w:after="0" w:line="5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September 23, 2025, we completed the sale of the Eldridge facility and associated assets (the “Eldridge Facility”), resulting in the recognition of a gain on the sale of these assets. See our Annual Report for further details.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both"/>
        <w:spacing w:after="0" w:line="236" w:lineRule="auto"/>
        <w:rPr>
          <w:sz w:val="20"/>
          <w:szCs w:val="20"/>
          <w:color w:val="auto"/>
        </w:rPr>
      </w:pPr>
      <w:r>
        <w:rPr>
          <w:rFonts w:ascii="Arial" w:cs="Arial" w:eastAsia="Arial" w:hAnsi="Arial"/>
          <w:sz w:val="17"/>
          <w:szCs w:val="17"/>
          <w:color w:val="auto"/>
        </w:rPr>
        <w:t>On February 25, 2026, Innovex and certain affiliates of Amberjack Capital Partners, L.P. (the “selling stockholders”) entered into an underwriting agreement with J.P. Morgan Securities LLC acting as book-running manager for the offering and as representative of the underwriters, relating to the offer and sale by the selling stockholders of 5,750,000 shares of Company Common Stock at a price to the public of $25.75 per share (the “February 2026 Secondary Offering”), pursuant to the Company’s effective Registration Statement on Form S-3 (File No. 333-282178). The selling stockholders granted the Underwriters the option to purchase, within 30 days from the date of the underwriting agreement, an additional 862,500 shares of Company Common Stock, which was exercised in full. The underwriting agreement also provided for the Company's purchase from the underwriters and simultaneous retirement of 575,000 shares out of the 5,750,000 shares for an aggregate purchase price of approximately $14.1 million (the "Share Repurchase"). The February 2026 Secondary Offering and Share Repurchase was completed on February 27, 2026. The Company did not receive any proceeds from the February 2026 Secondary Offering.</w:t>
      </w:r>
    </w:p>
    <w:p>
      <w:pPr>
        <w:spacing w:after="0" w:line="106" w:lineRule="exact"/>
        <w:rPr>
          <w:sz w:val="20"/>
          <w:szCs w:val="20"/>
          <w:color w:val="auto"/>
        </w:rPr>
      </w:pPr>
    </w:p>
    <w:p>
      <w:pPr>
        <w:ind w:right="160"/>
        <w:spacing w:after="0" w:line="414" w:lineRule="auto"/>
        <w:rPr>
          <w:sz w:val="20"/>
          <w:szCs w:val="20"/>
          <w:color w:val="auto"/>
        </w:rPr>
      </w:pPr>
      <w:r>
        <w:rPr>
          <w:rFonts w:ascii="Arial" w:cs="Arial" w:eastAsia="Arial" w:hAnsi="Arial"/>
          <w:sz w:val="17"/>
          <w:szCs w:val="17"/>
          <w:color w:val="auto"/>
        </w:rPr>
        <w:t xml:space="preserve">On April 10, 2026, we acquired Drilling Innovative Solutions, LLC (“DIS”) for cash, resulting in DIS becoming a wholly owned subsidiary of Innovex.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accounting principles generally accepted in the United States (“U.S. GAAP” or “GAAP”) for interim financial information. The Condensed Consolidated Financial Statements include the accounts of our subsidiaries where we have control over operating and financial policies. Investments in unconsolidated affiliates, in which the Company can exercise significant influence, but does not own a controlling financial interest, are accounted for using the equity method of accounting. These Condensed Consolidated Financial Statements should be read in conjunction with our financial statements and related notes thereto for the year ended December 31, 2025 (the “Audited Financial Statements”) included in our Annual Report. In the opinion of management, these Condensed Consolidated Financial Statements reflect all normal, recurring adjustments necessary for a fair statement of the interim periods presented. The results of operations for interim periods are not necessarily indicative of those for a full year. All intercompany accounts and transactions have been eliminated for purposes of preparing these Condensed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significant accounting policies are described in </w:t>
      </w:r>
      <w:r>
        <w:rPr>
          <w:rFonts w:ascii="Arial" w:cs="Arial" w:eastAsia="Arial" w:hAnsi="Arial"/>
          <w:sz w:val="17"/>
          <w:szCs w:val="17"/>
          <w:i w:val="1"/>
          <w:iCs w:val="1"/>
          <w:color w:val="auto"/>
        </w:rPr>
        <w:t>Note 2. Summary of Significant Accounting Policies</w:t>
      </w:r>
      <w:r>
        <w:rPr>
          <w:rFonts w:ascii="Arial" w:cs="Arial" w:eastAsia="Arial" w:hAnsi="Arial"/>
          <w:sz w:val="17"/>
          <w:szCs w:val="17"/>
          <w:color w:val="auto"/>
        </w:rPr>
        <w:t xml:space="preserve"> in the Audited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operate in one reportable segment. Our chief operating decision maker (“CODM”) is our Chief Executive Officer. Our CODM assesses performance and allocates resources based on financial information presented at a consolidated level. The types of products and services from which we derive our revenues is disclosed under “</w:t>
      </w:r>
      <w:r>
        <w:rPr>
          <w:rFonts w:ascii="Arial" w:cs="Arial" w:eastAsia="Arial" w:hAnsi="Arial"/>
          <w:sz w:val="17"/>
          <w:szCs w:val="17"/>
          <w:i w:val="1"/>
          <w:iCs w:val="1"/>
          <w:color w:val="auto"/>
        </w:rPr>
        <w:t>Revenue Recognition</w:t>
      </w:r>
      <w:r>
        <w:rPr>
          <w:rFonts w:ascii="Arial" w:cs="Arial" w:eastAsia="Arial" w:hAnsi="Arial"/>
          <w:sz w:val="17"/>
          <w:szCs w:val="17"/>
          <w:color w:val="auto"/>
        </w:rPr>
        <w:t>” within our Annual Report. We derive revenue globally, and our manufacturing and engineering capabilities exist in multiple locations, but these costs are managed centrally as manufactured parts and engineering capabilities are used to support the global company. The CODM assesses performance for the single reportable segment, which represents the consolidated global entity, based on net income which is reported in our Condensed Consolidated Statements of Operations and Comprehensive Income. The measure of segment assets is reported in our Condensed Consolidated Balance Sheets as total consolidated assets.</w:t>
      </w:r>
    </w:p>
    <w:p>
      <w:pPr>
        <w:spacing w:after="0" w:line="10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Our CODM uses net income to evaluate </w:t>
      </w:r>
      <w:r>
        <w:rPr>
          <w:rFonts w:ascii="Arial" w:cs="Arial" w:eastAsia="Arial" w:hAnsi="Arial"/>
          <w:sz w:val="17"/>
          <w:szCs w:val="17"/>
          <w:color w:val="231F20"/>
        </w:rPr>
        <w:t>the profitability of our business operations, evaluate our return on capital, and to compare our operating</w:t>
      </w:r>
      <w:r>
        <w:rPr>
          <w:rFonts w:ascii="Arial" w:cs="Arial" w:eastAsia="Arial" w:hAnsi="Arial"/>
          <w:sz w:val="17"/>
          <w:szCs w:val="17"/>
          <w:color w:val="auto"/>
        </w:rPr>
        <w:t xml:space="preserve"> </w:t>
      </w:r>
      <w:r>
        <w:rPr>
          <w:rFonts w:ascii="Arial" w:cs="Arial" w:eastAsia="Arial" w:hAnsi="Arial"/>
          <w:sz w:val="17"/>
          <w:szCs w:val="17"/>
          <w:color w:val="231F20"/>
        </w:rPr>
        <w:t>performance to our competitors. Net income is also used in deciding whether to reinvest profits into the existing business or to use in other ways, such as for acquisitions.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Changes to U.S. GAAP are established by the Financial Accounting Standards Board (“FASB”) generally in the form of Accounting Standards Updates (“ASUs”) to the FASB’s Accounting Standards Codification. We assessed ASUs and disclosure requirements not listed below and determined that they either were not applicable or were not expected to have a material impact to our Condensed Consolidated Financial Statements.</w:t>
      </w:r>
    </w:p>
    <w:p>
      <w:pPr>
        <w:spacing w:after="0" w:line="29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i w:val="1"/>
          <w:iCs w:val="1"/>
          <w:color w:val="auto"/>
        </w:rPr>
        <w:t>Expense Disaggregation Disclosures (Subtopic 220-40)</w:t>
      </w:r>
      <w:r>
        <w:rPr>
          <w:rFonts w:ascii="Arial" w:cs="Arial" w:eastAsia="Arial" w:hAnsi="Arial"/>
          <w:sz w:val="17"/>
          <w:szCs w:val="17"/>
          <w:color w:val="auto"/>
        </w:rPr>
        <w:t>—In November 2024, the FASB issued ASU 2024-03,</w:t>
      </w:r>
      <w:r>
        <w:rPr>
          <w:rFonts w:ascii="Arial" w:cs="Arial" w:eastAsia="Arial" w:hAnsi="Arial"/>
          <w:sz w:val="17"/>
          <w:szCs w:val="17"/>
          <w:i w:val="1"/>
          <w:iCs w:val="1"/>
          <w:color w:val="auto"/>
        </w:rPr>
        <w:t xml:space="preserve"> Disaggregation of Income Statement Expenses</w:t>
      </w:r>
      <w:r>
        <w:rPr>
          <w:rFonts w:ascii="Arial" w:cs="Arial" w:eastAsia="Arial" w:hAnsi="Arial"/>
          <w:sz w:val="17"/>
          <w:szCs w:val="17"/>
          <w:color w:val="auto"/>
        </w:rPr>
        <w:t>. The amendment requires additional disclosures of specific income statement expense line items in the notes to the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on both an interim and annual basis. ASU 2024-03 is effective for annual periods beginning after December 15, 2026. We are currently evaluating the potential impact of adopting this new guidance on our consolidated financial statements and related disclosures.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NOTE 3. MERGERS AND ACQUISITIONS</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Our acquisition of businesses consisted of the transactions described below during the three months ended March 31, 2026 and the twelve months ended December 31, 2025. Acquisition and integration costs in our Condensed Consolidated Statements of Operations and Comprehensive Income represent expenditures directly associated with the closing and integration activities of the Merger and acquisitions completed, and include (i) legal, accounting, and advisory fees to complete the Merger and acquisitions and (ii) costs to integrate acquired businesses into our existing operations, including move, severance, and other integration costs (collectively, “acquisition and integration costs”).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SCF Machining Corporation</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 February 7, 2025, we acquired SCF in exchange for $17.7 million in cash consideration, subject to post-closing adjustments. SCF is a Canadian-domiciled entity and parent company to SCF Machining Corporation Vietnam Company Limited, a Vietnam-based company that was established to grow our low-cost country supply chain by establishing an exclusive manufacturing vendor to provide Innovex with high quality, low price machined goods. The acquisition qualifies as a business combination and was accounted for using the acquisition method of accounting.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Final Purchase Price Allocation</w:t>
      </w:r>
    </w:p>
    <w:p>
      <w:pPr>
        <w:spacing w:after="0" w:line="12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i w:val="1"/>
          <w:iCs w:val="1"/>
          <w:color w:val="auto"/>
        </w:rPr>
        <w:t>Accounting Standards Codification Topic 805, Business Combinations (“ASC 805”)</w:t>
      </w:r>
      <w:r>
        <w:rPr>
          <w:rFonts w:ascii="Arial" w:cs="Arial" w:eastAsia="Arial" w:hAnsi="Arial"/>
          <w:sz w:val="17"/>
          <w:szCs w:val="17"/>
          <w:color w:val="auto"/>
        </w:rPr>
        <w:t>, identifiable assets acquired and liabilities assumed were recorded at their estimated fair values on the date of acquisition. The allocation of the purchase price included in the current period balance sheet is based on the best estimate of management. The table below presents the final purchase price allocation to the estimated fair value of identifiable assets acquired and liabilities assumed and the resulting goodwill as of February 7, 2025. Goodwill is primarily attributable to the anticipated cost reductions and supply chain flexibility expected from the integration of SCF. Based on the current tax treatment, goodwill is not expected to be deductible for income tax purposes.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right"/>
              <w:ind w:right="204"/>
              <w:spacing w:after="0"/>
              <w:rPr>
                <w:sz w:val="20"/>
                <w:szCs w:val="20"/>
                <w:color w:val="auto"/>
              </w:rPr>
            </w:pPr>
            <w:r>
              <w:rPr>
                <w:rFonts w:ascii="Arial" w:cs="Arial" w:eastAsia="Arial" w:hAnsi="Arial"/>
                <w:sz w:val="15"/>
                <w:szCs w:val="15"/>
                <w:b w:val="1"/>
                <w:bCs w:val="1"/>
                <w:color w:val="auto"/>
              </w:rPr>
              <w:t>Final Purchase Price</w:t>
            </w:r>
          </w:p>
        </w:tc>
      </w:tr>
      <w:tr>
        <w:trPr>
          <w:trHeight w:val="181"/>
        </w:trPr>
        <w:tc>
          <w:tcPr>
            <w:tcW w:w="934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Allocation</w:t>
            </w:r>
          </w:p>
        </w:tc>
      </w:tr>
      <w:tr>
        <w:trPr>
          <w:trHeight w:val="155"/>
        </w:trPr>
        <w:tc>
          <w:tcPr>
            <w:tcW w:w="9340" w:type="dxa"/>
            <w:vAlign w:val="bottom"/>
            <w:shd w:val="clear" w:color="auto" w:fill="CCEDFF"/>
          </w:tcPr>
          <w:p>
            <w:pPr>
              <w:spacing w:after="0" w:line="156" w:lineRule="exact"/>
              <w:rPr>
                <w:sz w:val="20"/>
                <w:szCs w:val="20"/>
                <w:color w:val="auto"/>
              </w:rPr>
            </w:pPr>
            <w:r>
              <w:rPr>
                <w:rFonts w:ascii="Arial" w:cs="Arial" w:eastAsia="Arial" w:hAnsi="Arial"/>
                <w:sz w:val="15"/>
                <w:szCs w:val="15"/>
                <w:color w:val="auto"/>
              </w:rPr>
              <w:t>Cash and restricted cash</w:t>
            </w:r>
          </w:p>
        </w:tc>
        <w:tc>
          <w:tcPr>
            <w:tcW w:w="100" w:type="dxa"/>
            <w:vAlign w:val="bottom"/>
            <w:shd w:val="clear" w:color="auto" w:fill="CCEDFF"/>
          </w:tcPr>
          <w:p>
            <w:pPr>
              <w:jc w:val="right"/>
              <w:spacing w:after="0" w:line="156" w:lineRule="exact"/>
              <w:rPr>
                <w:sz w:val="20"/>
                <w:szCs w:val="20"/>
                <w:color w:val="auto"/>
              </w:rPr>
            </w:pPr>
            <w:r>
              <w:rPr>
                <w:rFonts w:ascii="Arial" w:cs="Arial" w:eastAsia="Arial" w:hAnsi="Arial"/>
                <w:sz w:val="15"/>
                <w:szCs w:val="15"/>
                <w:color w:val="auto"/>
                <w:w w:val="95"/>
              </w:rPr>
              <w:t>$</w:t>
            </w:r>
          </w:p>
        </w:tc>
        <w:tc>
          <w:tcPr>
            <w:tcW w:w="1800" w:type="dxa"/>
            <w:vAlign w:val="bottom"/>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308</w:t>
            </w:r>
          </w:p>
        </w:tc>
      </w:tr>
      <w:tr>
        <w:trPr>
          <w:trHeight w:val="162"/>
        </w:trPr>
        <w:tc>
          <w:tcPr>
            <w:tcW w:w="9340" w:type="dxa"/>
            <w:vAlign w:val="bottom"/>
          </w:tcPr>
          <w:p>
            <w:pPr>
              <w:spacing w:after="0" w:line="162" w:lineRule="exact"/>
              <w:rPr>
                <w:sz w:val="20"/>
                <w:szCs w:val="20"/>
                <w:color w:val="auto"/>
              </w:rPr>
            </w:pPr>
            <w:r>
              <w:rPr>
                <w:rFonts w:ascii="Arial" w:cs="Arial" w:eastAsia="Arial" w:hAnsi="Arial"/>
                <w:sz w:val="15"/>
                <w:szCs w:val="15"/>
                <w:color w:val="auto"/>
              </w:rPr>
              <w:t>Inventories</w:t>
            </w:r>
          </w:p>
        </w:tc>
        <w:tc>
          <w:tcPr>
            <w:tcW w:w="100" w:type="dxa"/>
            <w:vAlign w:val="bottom"/>
          </w:tcPr>
          <w:p>
            <w:pPr>
              <w:spacing w:after="0"/>
              <w:rPr>
                <w:sz w:val="14"/>
                <w:szCs w:val="14"/>
                <w:color w:val="auto"/>
              </w:rPr>
            </w:pPr>
          </w:p>
        </w:tc>
        <w:tc>
          <w:tcPr>
            <w:tcW w:w="180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758</w:t>
            </w:r>
          </w:p>
        </w:tc>
      </w:tr>
      <w:tr>
        <w:trPr>
          <w:trHeight w:val="162"/>
        </w:trPr>
        <w:tc>
          <w:tcPr>
            <w:tcW w:w="934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00" w:type="dxa"/>
            <w:vAlign w:val="bottom"/>
            <w:shd w:val="clear" w:color="auto" w:fill="CCEDFF"/>
          </w:tcPr>
          <w:p>
            <w:pPr>
              <w:spacing w:after="0"/>
              <w:rPr>
                <w:sz w:val="14"/>
                <w:szCs w:val="14"/>
                <w:color w:val="auto"/>
              </w:rPr>
            </w:pPr>
          </w:p>
        </w:tc>
        <w:tc>
          <w:tcPr>
            <w:tcW w:w="180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722</w:t>
            </w:r>
          </w:p>
        </w:tc>
      </w:tr>
      <w:tr>
        <w:trPr>
          <w:trHeight w:val="162"/>
        </w:trPr>
        <w:tc>
          <w:tcPr>
            <w:tcW w:w="9340" w:type="dxa"/>
            <w:vAlign w:val="bottom"/>
          </w:tcPr>
          <w:p>
            <w:pPr>
              <w:spacing w:after="0" w:line="162" w:lineRule="exact"/>
              <w:rPr>
                <w:sz w:val="20"/>
                <w:szCs w:val="20"/>
                <w:color w:val="auto"/>
              </w:rPr>
            </w:pPr>
            <w:r>
              <w:rPr>
                <w:rFonts w:ascii="Arial" w:cs="Arial" w:eastAsia="Arial" w:hAnsi="Arial"/>
                <w:sz w:val="15"/>
                <w:szCs w:val="15"/>
                <w:color w:val="auto"/>
              </w:rPr>
              <w:t>Property and equipment</w:t>
            </w:r>
          </w:p>
        </w:tc>
        <w:tc>
          <w:tcPr>
            <w:tcW w:w="100" w:type="dxa"/>
            <w:vAlign w:val="bottom"/>
          </w:tcPr>
          <w:p>
            <w:pPr>
              <w:spacing w:after="0"/>
              <w:rPr>
                <w:sz w:val="14"/>
                <w:szCs w:val="14"/>
                <w:color w:val="auto"/>
              </w:rPr>
            </w:pPr>
          </w:p>
        </w:tc>
        <w:tc>
          <w:tcPr>
            <w:tcW w:w="180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1,305</w:t>
            </w:r>
          </w:p>
        </w:tc>
      </w:tr>
      <w:tr>
        <w:trPr>
          <w:trHeight w:val="162"/>
        </w:trPr>
        <w:tc>
          <w:tcPr>
            <w:tcW w:w="934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Right-of-use assets – operating</w:t>
            </w:r>
          </w:p>
        </w:tc>
        <w:tc>
          <w:tcPr>
            <w:tcW w:w="100" w:type="dxa"/>
            <w:vAlign w:val="bottom"/>
            <w:shd w:val="clear" w:color="auto" w:fill="CCEDFF"/>
          </w:tcPr>
          <w:p>
            <w:pPr>
              <w:spacing w:after="0"/>
              <w:rPr>
                <w:sz w:val="14"/>
                <w:szCs w:val="14"/>
                <w:color w:val="auto"/>
              </w:rPr>
            </w:pPr>
          </w:p>
        </w:tc>
        <w:tc>
          <w:tcPr>
            <w:tcW w:w="180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892</w:t>
            </w:r>
          </w:p>
        </w:tc>
      </w:tr>
      <w:tr>
        <w:trPr>
          <w:trHeight w:val="162"/>
        </w:trPr>
        <w:tc>
          <w:tcPr>
            <w:tcW w:w="9340" w:type="dxa"/>
            <w:vAlign w:val="bottom"/>
          </w:tcPr>
          <w:p>
            <w:pPr>
              <w:spacing w:after="0" w:line="162" w:lineRule="exact"/>
              <w:rPr>
                <w:sz w:val="20"/>
                <w:szCs w:val="20"/>
                <w:color w:val="auto"/>
              </w:rPr>
            </w:pPr>
            <w:r>
              <w:rPr>
                <w:rFonts w:ascii="Arial" w:cs="Arial" w:eastAsia="Arial" w:hAnsi="Arial"/>
                <w:sz w:val="15"/>
                <w:szCs w:val="15"/>
                <w:color w:val="auto"/>
              </w:rPr>
              <w:t>Other long-term assets</w:t>
            </w: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269</w:t>
            </w:r>
          </w:p>
        </w:tc>
      </w:tr>
      <w:tr>
        <w:trPr>
          <w:trHeight w:val="156"/>
        </w:trPr>
        <w:tc>
          <w:tcPr>
            <w:tcW w:w="9340" w:type="dxa"/>
            <w:vAlign w:val="bottom"/>
            <w:tcBorders>
              <w:bottom w:val="single" w:sz="8" w:color="CCEDFF"/>
            </w:tcBorders>
            <w:shd w:val="clear" w:color="auto" w:fill="CCEDFF"/>
          </w:tcPr>
          <w:p>
            <w:pPr>
              <w:ind w:left="280"/>
              <w:spacing w:after="0" w:line="156" w:lineRule="exact"/>
              <w:rPr>
                <w:sz w:val="20"/>
                <w:szCs w:val="20"/>
                <w:color w:val="auto"/>
              </w:rPr>
            </w:pPr>
            <w:r>
              <w:rPr>
                <w:rFonts w:ascii="Arial" w:cs="Arial" w:eastAsia="Arial" w:hAnsi="Arial"/>
                <w:sz w:val="15"/>
                <w:szCs w:val="15"/>
                <w:b w:val="1"/>
                <w:bCs w:val="1"/>
                <w:color w:val="auto"/>
              </w:rPr>
              <w:t>Total assets</w:t>
            </w:r>
          </w:p>
        </w:tc>
        <w:tc>
          <w:tcPr>
            <w:tcW w:w="100" w:type="dxa"/>
            <w:vAlign w:val="bottom"/>
            <w:tcBorders>
              <w:bottom w:val="single" w:sz="8" w:color="auto"/>
            </w:tcBorders>
            <w:shd w:val="clear" w:color="auto" w:fill="CCEDFF"/>
          </w:tcPr>
          <w:p>
            <w:pPr>
              <w:spacing w:after="0"/>
              <w:rPr>
                <w:sz w:val="13"/>
                <w:szCs w:val="13"/>
                <w:color w:val="auto"/>
              </w:rPr>
            </w:pPr>
          </w:p>
        </w:tc>
        <w:tc>
          <w:tcPr>
            <w:tcW w:w="1800" w:type="dxa"/>
            <w:vAlign w:val="bottom"/>
            <w:tcBorders>
              <w:bottom w:val="single" w:sz="8" w:color="auto"/>
            </w:tcBorders>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4,254</w:t>
            </w:r>
          </w:p>
        </w:tc>
      </w:tr>
      <w:tr>
        <w:trPr>
          <w:trHeight w:val="155"/>
        </w:trPr>
        <w:tc>
          <w:tcPr>
            <w:tcW w:w="9340" w:type="dxa"/>
            <w:vAlign w:val="bottom"/>
          </w:tcPr>
          <w:p>
            <w:pPr>
              <w:spacing w:after="0" w:line="156" w:lineRule="exact"/>
              <w:rPr>
                <w:sz w:val="20"/>
                <w:szCs w:val="20"/>
                <w:color w:val="auto"/>
              </w:rPr>
            </w:pPr>
            <w:r>
              <w:rPr>
                <w:rFonts w:ascii="Arial" w:cs="Arial" w:eastAsia="Arial" w:hAnsi="Arial"/>
                <w:sz w:val="15"/>
                <w:szCs w:val="15"/>
                <w:color w:val="auto"/>
              </w:rPr>
              <w:t>Accounts payable</w:t>
            </w:r>
          </w:p>
        </w:tc>
        <w:tc>
          <w:tcPr>
            <w:tcW w:w="100" w:type="dxa"/>
            <w:vAlign w:val="bottom"/>
          </w:tcPr>
          <w:p>
            <w:pPr>
              <w:spacing w:after="0"/>
              <w:rPr>
                <w:sz w:val="13"/>
                <w:szCs w:val="13"/>
                <w:color w:val="auto"/>
              </w:rPr>
            </w:pPr>
          </w:p>
        </w:tc>
        <w:tc>
          <w:tcPr>
            <w:tcW w:w="1800" w:type="dxa"/>
            <w:vAlign w:val="bottom"/>
          </w:tcPr>
          <w:p>
            <w:pPr>
              <w:jc w:val="right"/>
              <w:ind w:right="44"/>
              <w:spacing w:after="0" w:line="156" w:lineRule="exact"/>
              <w:rPr>
                <w:sz w:val="20"/>
                <w:szCs w:val="20"/>
                <w:color w:val="auto"/>
              </w:rPr>
            </w:pPr>
            <w:r>
              <w:rPr>
                <w:rFonts w:ascii="Arial" w:cs="Arial" w:eastAsia="Arial" w:hAnsi="Arial"/>
                <w:sz w:val="15"/>
                <w:szCs w:val="15"/>
                <w:color w:val="auto"/>
              </w:rPr>
              <w:t>671</w:t>
            </w:r>
          </w:p>
        </w:tc>
      </w:tr>
      <w:tr>
        <w:trPr>
          <w:trHeight w:val="162"/>
        </w:trPr>
        <w:tc>
          <w:tcPr>
            <w:tcW w:w="934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Accrued expenses</w:t>
            </w:r>
          </w:p>
        </w:tc>
        <w:tc>
          <w:tcPr>
            <w:tcW w:w="100" w:type="dxa"/>
            <w:vAlign w:val="bottom"/>
            <w:shd w:val="clear" w:color="auto" w:fill="CCEDFF"/>
          </w:tcPr>
          <w:p>
            <w:pPr>
              <w:spacing w:after="0"/>
              <w:rPr>
                <w:sz w:val="14"/>
                <w:szCs w:val="14"/>
                <w:color w:val="auto"/>
              </w:rPr>
            </w:pPr>
          </w:p>
        </w:tc>
        <w:tc>
          <w:tcPr>
            <w:tcW w:w="180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372</w:t>
            </w:r>
          </w:p>
        </w:tc>
      </w:tr>
      <w:tr>
        <w:trPr>
          <w:trHeight w:val="162"/>
        </w:trPr>
        <w:tc>
          <w:tcPr>
            <w:tcW w:w="9340" w:type="dxa"/>
            <w:vAlign w:val="bottom"/>
          </w:tcPr>
          <w:p>
            <w:pPr>
              <w:spacing w:after="0" w:line="162" w:lineRule="exact"/>
              <w:rPr>
                <w:sz w:val="20"/>
                <w:szCs w:val="20"/>
                <w:color w:val="auto"/>
              </w:rPr>
            </w:pPr>
            <w:r>
              <w:rPr>
                <w:rFonts w:ascii="Arial" w:cs="Arial" w:eastAsia="Arial" w:hAnsi="Arial"/>
                <w:sz w:val="15"/>
                <w:szCs w:val="15"/>
                <w:color w:val="auto"/>
              </w:rPr>
              <w:t>Operating lease liabilities - current</w:t>
            </w:r>
          </w:p>
        </w:tc>
        <w:tc>
          <w:tcPr>
            <w:tcW w:w="100" w:type="dxa"/>
            <w:vAlign w:val="bottom"/>
          </w:tcPr>
          <w:p>
            <w:pPr>
              <w:spacing w:after="0"/>
              <w:rPr>
                <w:sz w:val="14"/>
                <w:szCs w:val="14"/>
                <w:color w:val="auto"/>
              </w:rPr>
            </w:pPr>
          </w:p>
        </w:tc>
        <w:tc>
          <w:tcPr>
            <w:tcW w:w="180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374</w:t>
            </w:r>
          </w:p>
        </w:tc>
      </w:tr>
      <w:tr>
        <w:trPr>
          <w:trHeight w:val="162"/>
        </w:trPr>
        <w:tc>
          <w:tcPr>
            <w:tcW w:w="9340" w:type="dxa"/>
            <w:vAlign w:val="bottom"/>
            <w:tcBorders>
              <w:bottom w:val="single" w:sz="8" w:color="CCEDFF"/>
            </w:tcBorders>
            <w:shd w:val="clear" w:color="auto" w:fill="CCEDFF"/>
          </w:tcPr>
          <w:p>
            <w:pPr>
              <w:spacing w:after="0" w:line="162" w:lineRule="exact"/>
              <w:rPr>
                <w:sz w:val="20"/>
                <w:szCs w:val="20"/>
                <w:color w:val="auto"/>
              </w:rPr>
            </w:pPr>
            <w:r>
              <w:rPr>
                <w:rFonts w:ascii="Arial" w:cs="Arial" w:eastAsia="Arial" w:hAnsi="Arial"/>
                <w:sz w:val="15"/>
                <w:szCs w:val="15"/>
                <w:color w:val="auto"/>
              </w:rPr>
              <w:t>Operating lease liabilities - noncurrent</w:t>
            </w:r>
          </w:p>
        </w:tc>
        <w:tc>
          <w:tcPr>
            <w:tcW w:w="100" w:type="dxa"/>
            <w:vAlign w:val="bottom"/>
            <w:tcBorders>
              <w:bottom w:val="single" w:sz="8" w:color="auto"/>
            </w:tcBorders>
            <w:shd w:val="clear" w:color="auto" w:fill="CCEDFF"/>
          </w:tcPr>
          <w:p>
            <w:pPr>
              <w:spacing w:after="0"/>
              <w:rPr>
                <w:sz w:val="14"/>
                <w:szCs w:val="14"/>
                <w:color w:val="auto"/>
              </w:rPr>
            </w:pPr>
          </w:p>
        </w:tc>
        <w:tc>
          <w:tcPr>
            <w:tcW w:w="180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518</w:t>
            </w:r>
          </w:p>
        </w:tc>
      </w:tr>
      <w:tr>
        <w:trPr>
          <w:trHeight w:val="156"/>
        </w:trPr>
        <w:tc>
          <w:tcPr>
            <w:tcW w:w="9340" w:type="dxa"/>
            <w:vAlign w:val="bottom"/>
          </w:tcPr>
          <w:p>
            <w:pPr>
              <w:ind w:left="280"/>
              <w:spacing w:after="0" w:line="156" w:lineRule="exact"/>
              <w:rPr>
                <w:sz w:val="20"/>
                <w:szCs w:val="20"/>
                <w:color w:val="auto"/>
              </w:rPr>
            </w:pPr>
            <w:r>
              <w:rPr>
                <w:rFonts w:ascii="Arial" w:cs="Arial" w:eastAsia="Arial" w:hAnsi="Arial"/>
                <w:sz w:val="15"/>
                <w:szCs w:val="15"/>
                <w:b w:val="1"/>
                <w:bCs w:val="1"/>
                <w:color w:val="auto"/>
              </w:rPr>
              <w:t>Total liabilities</w:t>
            </w: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1,935</w:t>
            </w:r>
          </w:p>
        </w:tc>
      </w:tr>
      <w:tr>
        <w:trPr>
          <w:trHeight w:val="155"/>
        </w:trPr>
        <w:tc>
          <w:tcPr>
            <w:tcW w:w="9340" w:type="dxa"/>
            <w:vAlign w:val="bottom"/>
            <w:shd w:val="clear" w:color="auto" w:fill="CCEDFF"/>
          </w:tcPr>
          <w:p>
            <w:pPr>
              <w:spacing w:after="0" w:line="156" w:lineRule="exact"/>
              <w:rPr>
                <w:sz w:val="20"/>
                <w:szCs w:val="20"/>
                <w:color w:val="auto"/>
              </w:rPr>
            </w:pPr>
            <w:r>
              <w:rPr>
                <w:rFonts w:ascii="Arial" w:cs="Arial" w:eastAsia="Arial" w:hAnsi="Arial"/>
                <w:sz w:val="15"/>
                <w:szCs w:val="15"/>
                <w:b w:val="1"/>
                <w:bCs w:val="1"/>
                <w:color w:val="auto"/>
              </w:rPr>
              <w:t>Net assets acquired</w:t>
            </w:r>
          </w:p>
        </w:tc>
        <w:tc>
          <w:tcPr>
            <w:tcW w:w="100" w:type="dxa"/>
            <w:vAlign w:val="bottom"/>
            <w:shd w:val="clear" w:color="auto" w:fill="CCEDFF"/>
          </w:tcPr>
          <w:p>
            <w:pPr>
              <w:spacing w:after="0"/>
              <w:rPr>
                <w:sz w:val="13"/>
                <w:szCs w:val="13"/>
                <w:color w:val="auto"/>
              </w:rPr>
            </w:pPr>
          </w:p>
        </w:tc>
        <w:tc>
          <w:tcPr>
            <w:tcW w:w="1800" w:type="dxa"/>
            <w:vAlign w:val="bottom"/>
            <w:shd w:val="clear" w:color="auto" w:fill="CCEDFF"/>
          </w:tcPr>
          <w:p>
            <w:pPr>
              <w:jc w:val="right"/>
              <w:ind w:right="44"/>
              <w:spacing w:after="0" w:line="156" w:lineRule="exact"/>
              <w:rPr>
                <w:sz w:val="20"/>
                <w:szCs w:val="20"/>
                <w:color w:val="auto"/>
              </w:rPr>
            </w:pPr>
            <w:r>
              <w:rPr>
                <w:rFonts w:ascii="Arial" w:cs="Arial" w:eastAsia="Arial" w:hAnsi="Arial"/>
                <w:sz w:val="15"/>
                <w:szCs w:val="15"/>
                <w:b w:val="1"/>
                <w:bCs w:val="1"/>
                <w:color w:val="auto"/>
              </w:rPr>
              <w:t>2,319</w:t>
            </w:r>
          </w:p>
        </w:tc>
      </w:tr>
      <w:tr>
        <w:trPr>
          <w:trHeight w:val="162"/>
        </w:trPr>
        <w:tc>
          <w:tcPr>
            <w:tcW w:w="9340" w:type="dxa"/>
            <w:vAlign w:val="bottom"/>
          </w:tcPr>
          <w:p>
            <w:pPr>
              <w:spacing w:after="0" w:line="162" w:lineRule="exact"/>
              <w:rPr>
                <w:sz w:val="20"/>
                <w:szCs w:val="20"/>
                <w:color w:val="auto"/>
              </w:rPr>
            </w:pPr>
            <w:r>
              <w:rPr>
                <w:rFonts w:ascii="Arial" w:cs="Arial" w:eastAsia="Arial" w:hAnsi="Arial"/>
                <w:sz w:val="15"/>
                <w:szCs w:val="15"/>
                <w:color w:val="auto"/>
              </w:rPr>
              <w:t>Goodwill</w:t>
            </w: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15,402</w:t>
            </w:r>
          </w:p>
        </w:tc>
      </w:tr>
      <w:tr>
        <w:trPr>
          <w:trHeight w:val="195"/>
        </w:trPr>
        <w:tc>
          <w:tcPr>
            <w:tcW w:w="9340" w:type="dxa"/>
            <w:vAlign w:val="bottom"/>
            <w:tcBorders>
              <w:bottom w:val="single" w:sz="8" w:color="CCEDFF"/>
            </w:tcBorders>
            <w:shd w:val="clear" w:color="auto" w:fill="CCEDFF"/>
          </w:tcPr>
          <w:p>
            <w:pPr>
              <w:spacing w:after="0" w:line="156" w:lineRule="exact"/>
              <w:rPr>
                <w:sz w:val="20"/>
                <w:szCs w:val="20"/>
                <w:color w:val="auto"/>
              </w:rPr>
            </w:pPr>
            <w:r>
              <w:rPr>
                <w:rFonts w:ascii="Arial" w:cs="Arial" w:eastAsia="Arial" w:hAnsi="Arial"/>
                <w:sz w:val="15"/>
                <w:szCs w:val="15"/>
                <w:b w:val="1"/>
                <w:bCs w:val="1"/>
                <w:color w:val="auto"/>
              </w:rPr>
              <w:t>Total purchase consideration</w:t>
            </w:r>
          </w:p>
        </w:tc>
        <w:tc>
          <w:tcPr>
            <w:tcW w:w="100" w:type="dxa"/>
            <w:vAlign w:val="bottom"/>
            <w:tcBorders>
              <w:bottom w:val="single" w:sz="8" w:color="auto"/>
            </w:tcBorders>
            <w:shd w:val="clear" w:color="auto" w:fill="CCEDFF"/>
          </w:tcPr>
          <w:p>
            <w:pPr>
              <w:jc w:val="right"/>
              <w:spacing w:after="0" w:line="156" w:lineRule="exact"/>
              <w:rPr>
                <w:sz w:val="20"/>
                <w:szCs w:val="20"/>
                <w:color w:val="auto"/>
              </w:rPr>
            </w:pPr>
            <w:r>
              <w:rPr>
                <w:rFonts w:ascii="Arial" w:cs="Arial" w:eastAsia="Arial" w:hAnsi="Arial"/>
                <w:sz w:val="15"/>
                <w:szCs w:val="15"/>
                <w:b w:val="1"/>
                <w:bCs w:val="1"/>
                <w:color w:val="auto"/>
                <w:w w:val="95"/>
              </w:rPr>
              <w:t>$</w:t>
            </w:r>
          </w:p>
        </w:tc>
        <w:tc>
          <w:tcPr>
            <w:tcW w:w="1800" w:type="dxa"/>
            <w:vAlign w:val="bottom"/>
            <w:tcBorders>
              <w:bottom w:val="single" w:sz="8" w:color="auto"/>
            </w:tcBorders>
            <w:shd w:val="clear" w:color="auto" w:fill="CCEDFF"/>
          </w:tcPr>
          <w:p>
            <w:pPr>
              <w:jc w:val="right"/>
              <w:ind w:right="44"/>
              <w:spacing w:after="0" w:line="156" w:lineRule="exact"/>
              <w:rPr>
                <w:sz w:val="20"/>
                <w:szCs w:val="20"/>
                <w:color w:val="auto"/>
              </w:rPr>
            </w:pPr>
            <w:r>
              <w:rPr>
                <w:rFonts w:ascii="Arial" w:cs="Arial" w:eastAsia="Arial" w:hAnsi="Arial"/>
                <w:sz w:val="15"/>
                <w:szCs w:val="15"/>
                <w:b w:val="1"/>
                <w:bCs w:val="1"/>
                <w:color w:val="auto"/>
              </w:rPr>
              <w:t>17,721</w:t>
            </w:r>
          </w:p>
        </w:tc>
      </w:tr>
    </w:tbl>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incurred transaction costs of $0.2 million in connection with the acquisition. The costs were expensed as incurred and recognized in </w:t>
      </w:r>
      <w:r>
        <w:rPr>
          <w:rFonts w:ascii="Arial" w:cs="Arial" w:eastAsia="Arial" w:hAnsi="Arial"/>
          <w:sz w:val="17"/>
          <w:szCs w:val="17"/>
          <w:i w:val="1"/>
          <w:iCs w:val="1"/>
          <w:color w:val="auto"/>
        </w:rPr>
        <w:t>Acquisition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integration costs </w:t>
      </w:r>
      <w:r>
        <w:rPr>
          <w:rFonts w:ascii="Arial" w:cs="Arial" w:eastAsia="Arial" w:hAnsi="Arial"/>
          <w:sz w:val="17"/>
          <w:szCs w:val="17"/>
          <w:color w:val="auto"/>
        </w:rPr>
        <w:t>in our Condensed Consolidated Statements of Operations and Comprehensive Income.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Citadel Casing Solutions, LLC</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May 30, 2025, we acquired Citadel for $69.7 million in cash consideration, subject to post-closing adjustments. We believe this acquisition enhances our product portfolio and allows us to leverage Citadel's industrial platform. The acquisition qualifies as a business combination and is accounted for using the acquisition method of accounting. The purchase price includes $3.0 million that was retained by the Company for purposes of funding any post-closing expenses and liabilities identified after the close of the transaction, if necessary. As of March 31, 2026, we have disbursed the entirety of the retained $3.0 million based on post-closing expenses identified.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Preliminary Purchase Price Allocation</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accordance with ASC 805, identifiable assets acquired and liabilities assumed were recorded at their estimated fair values on the date of acquisition. The allocation of the purchase price included in the current period balance sheet is based on the best estimate of management and is preliminary and subject to change. We will continue to obtain information to assist in determining the fair value of net assets acquired during the measurement period. We expect to finalize these amounts as soon as possible but no later than one year from May 30, 2025, the closing date of the acquisition.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both"/>
        <w:spacing w:after="0" w:line="244" w:lineRule="auto"/>
        <w:rPr>
          <w:sz w:val="20"/>
          <w:szCs w:val="20"/>
          <w:color w:val="auto"/>
        </w:rPr>
      </w:pPr>
      <w:r>
        <w:rPr>
          <w:rFonts w:ascii="Arial" w:cs="Arial" w:eastAsia="Arial" w:hAnsi="Arial"/>
          <w:sz w:val="17"/>
          <w:szCs w:val="17"/>
          <w:color w:val="auto"/>
        </w:rPr>
        <w:t>The table below presents the preliminary allocation to the estimated fair value of identifiable assets acquired and liabilities assumed and the resulting goodwill as of May 30, 2025. Goodwill represents the future economic benefits arising from other assets acquired that cannot be individually identified and separately recognized. Based on the current tax treatment, goodwill is expected to be deductible for income tax purposes over a 15-year period.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right"/>
              <w:ind w:right="384"/>
              <w:spacing w:after="0"/>
              <w:rPr>
                <w:sz w:val="20"/>
                <w:szCs w:val="20"/>
                <w:color w:val="auto"/>
              </w:rPr>
            </w:pPr>
            <w:r>
              <w:rPr>
                <w:rFonts w:ascii="Arial" w:cs="Arial" w:eastAsia="Arial" w:hAnsi="Arial"/>
                <w:sz w:val="15"/>
                <w:szCs w:val="15"/>
                <w:b w:val="1"/>
                <w:bCs w:val="1"/>
                <w:color w:val="auto"/>
              </w:rPr>
              <w:t>Preliminary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204"/>
              <w:spacing w:after="0"/>
              <w:rPr>
                <w:sz w:val="20"/>
                <w:szCs w:val="20"/>
                <w:color w:val="auto"/>
              </w:rPr>
            </w:pPr>
            <w:r>
              <w:rPr>
                <w:rFonts w:ascii="Arial" w:cs="Arial" w:eastAsia="Arial" w:hAnsi="Arial"/>
                <w:sz w:val="15"/>
                <w:szCs w:val="15"/>
                <w:b w:val="1"/>
                <w:bCs w:val="1"/>
                <w:color w:val="auto"/>
              </w:rPr>
              <w:t>Preliminary</w:t>
            </w:r>
          </w:p>
        </w:tc>
        <w:tc>
          <w:tcPr>
            <w:tcW w:w="0" w:type="dxa"/>
            <w:vAlign w:val="bottom"/>
          </w:tcPr>
          <w:p>
            <w:pPr>
              <w:spacing w:after="0"/>
              <w:rPr>
                <w:sz w:val="1"/>
                <w:szCs w:val="1"/>
                <w:color w:val="auto"/>
              </w:rPr>
            </w:pPr>
          </w:p>
        </w:tc>
      </w:tr>
      <w:tr>
        <w:trPr>
          <w:trHeight w:val="81"/>
        </w:trPr>
        <w:tc>
          <w:tcPr>
            <w:tcW w:w="6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vMerge w:val="restart"/>
          </w:tcPr>
          <w:p>
            <w:pPr>
              <w:jc w:val="right"/>
              <w:ind w:right="284"/>
              <w:spacing w:after="0" w:line="162" w:lineRule="exact"/>
              <w:rPr>
                <w:sz w:val="20"/>
                <w:szCs w:val="20"/>
                <w:color w:val="auto"/>
              </w:rPr>
            </w:pPr>
            <w:r>
              <w:rPr>
                <w:rFonts w:ascii="Arial" w:cs="Arial" w:eastAsia="Arial" w:hAnsi="Arial"/>
                <w:sz w:val="15"/>
                <w:szCs w:val="15"/>
                <w:b w:val="1"/>
                <w:bCs w:val="1"/>
                <w:color w:val="auto"/>
              </w:rPr>
              <w:t>Measurement</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restart"/>
          </w:tcPr>
          <w:p>
            <w:pPr>
              <w:jc w:val="center"/>
              <w:ind w:right="204"/>
              <w:spacing w:after="0" w:line="162" w:lineRule="exact"/>
              <w:rPr>
                <w:sz w:val="20"/>
                <w:szCs w:val="20"/>
                <w:color w:val="auto"/>
              </w:rPr>
            </w:pPr>
            <w:r>
              <w:rPr>
                <w:rFonts w:ascii="Arial" w:cs="Arial" w:eastAsia="Arial" w:hAnsi="Arial"/>
                <w:sz w:val="15"/>
                <w:szCs w:val="15"/>
                <w:b w:val="1"/>
                <w:bCs w:val="1"/>
                <w:color w:val="auto"/>
              </w:rPr>
              <w:t>Purchase Price</w:t>
            </w:r>
          </w:p>
        </w:tc>
        <w:tc>
          <w:tcPr>
            <w:tcW w:w="0" w:type="dxa"/>
            <w:vAlign w:val="bottom"/>
          </w:tcPr>
          <w:p>
            <w:pPr>
              <w:spacing w:after="0"/>
              <w:rPr>
                <w:sz w:val="1"/>
                <w:szCs w:val="1"/>
                <w:color w:val="auto"/>
              </w:rPr>
            </w:pPr>
          </w:p>
        </w:tc>
      </w:tr>
      <w:tr>
        <w:trPr>
          <w:trHeight w:val="81"/>
        </w:trPr>
        <w:tc>
          <w:tcPr>
            <w:tcW w:w="6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vMerge w:val="restart"/>
          </w:tcPr>
          <w:p>
            <w:pPr>
              <w:jc w:val="right"/>
              <w:ind w:right="244"/>
              <w:spacing w:after="0" w:line="162" w:lineRule="exact"/>
              <w:rPr>
                <w:sz w:val="20"/>
                <w:szCs w:val="20"/>
                <w:color w:val="auto"/>
              </w:rPr>
            </w:pPr>
            <w:r>
              <w:rPr>
                <w:rFonts w:ascii="Arial" w:cs="Arial" w:eastAsia="Arial" w:hAnsi="Arial"/>
                <w:sz w:val="15"/>
                <w:szCs w:val="15"/>
                <w:b w:val="1"/>
                <w:bCs w:val="1"/>
                <w:color w:val="auto"/>
              </w:rPr>
              <w:t>Purchase Price</w:t>
            </w: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gridSpan w:val="2"/>
            <w:vMerge w:val="restart"/>
          </w:tcPr>
          <w:p>
            <w:pPr>
              <w:jc w:val="right"/>
              <w:ind w:right="84"/>
              <w:spacing w:after="0" w:line="162" w:lineRule="exact"/>
              <w:rPr>
                <w:sz w:val="20"/>
                <w:szCs w:val="20"/>
                <w:color w:val="auto"/>
              </w:rPr>
            </w:pPr>
            <w:r>
              <w:rPr>
                <w:rFonts w:ascii="Arial" w:cs="Arial" w:eastAsia="Arial" w:hAnsi="Arial"/>
                <w:sz w:val="15"/>
                <w:szCs w:val="15"/>
                <w:b w:val="1"/>
                <w:bCs w:val="1"/>
                <w:color w:val="auto"/>
              </w:rPr>
              <w:t>Period Adjustment</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restart"/>
          </w:tcPr>
          <w:p>
            <w:pPr>
              <w:jc w:val="center"/>
              <w:ind w:right="184"/>
              <w:spacing w:after="0" w:line="162" w:lineRule="exact"/>
              <w:rPr>
                <w:sz w:val="20"/>
                <w:szCs w:val="20"/>
                <w:color w:val="auto"/>
              </w:rPr>
            </w:pPr>
            <w:r>
              <w:rPr>
                <w:rFonts w:ascii="Arial" w:cs="Arial" w:eastAsia="Arial" w:hAnsi="Arial"/>
                <w:sz w:val="15"/>
                <w:szCs w:val="15"/>
                <w:b w:val="1"/>
                <w:bCs w:val="1"/>
                <w:color w:val="auto"/>
              </w:rPr>
              <w:t>Allocation</w:t>
            </w:r>
          </w:p>
        </w:tc>
        <w:tc>
          <w:tcPr>
            <w:tcW w:w="0" w:type="dxa"/>
            <w:vAlign w:val="bottom"/>
          </w:tcPr>
          <w:p>
            <w:pPr>
              <w:spacing w:after="0"/>
              <w:rPr>
                <w:sz w:val="1"/>
                <w:szCs w:val="1"/>
                <w:color w:val="auto"/>
              </w:rPr>
            </w:pPr>
          </w:p>
        </w:tc>
      </w:tr>
      <w:tr>
        <w:trPr>
          <w:trHeight w:val="81"/>
        </w:trPr>
        <w:tc>
          <w:tcPr>
            <w:tcW w:w="6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auto"/>
              </w:rPr>
              <w:t>Allocation</w:t>
            </w:r>
          </w:p>
        </w:tc>
        <w:tc>
          <w:tcPr>
            <w:tcW w:w="14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6260" w:type="dxa"/>
            <w:vAlign w:val="bottom"/>
            <w:vMerge w:val="restart"/>
          </w:tcPr>
          <w:p>
            <w:pPr>
              <w:spacing w:after="0"/>
              <w:rPr>
                <w:sz w:val="20"/>
                <w:szCs w:val="20"/>
                <w:color w:val="auto"/>
              </w:rPr>
            </w:pPr>
            <w:r>
              <w:rPr>
                <w:rFonts w:ascii="Arial" w:cs="Arial" w:eastAsia="Arial" w:hAnsi="Arial"/>
                <w:sz w:val="15"/>
                <w:szCs w:val="15"/>
                <w:i w:val="1"/>
                <w:iCs w:val="1"/>
                <w:color w:val="auto"/>
              </w:rPr>
              <w:t>(in thousands)</w:t>
            </w: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restart"/>
          </w:tcPr>
          <w:p>
            <w:pPr>
              <w:jc w:val="center"/>
              <w:ind w:right="164"/>
              <w:spacing w:after="0"/>
              <w:rPr>
                <w:sz w:val="20"/>
                <w:szCs w:val="20"/>
                <w:color w:val="auto"/>
              </w:rPr>
            </w:pPr>
            <w:r>
              <w:rPr>
                <w:rFonts w:ascii="Arial" w:cs="Arial" w:eastAsia="Arial" w:hAnsi="Arial"/>
                <w:sz w:val="15"/>
                <w:szCs w:val="15"/>
                <w:b w:val="1"/>
                <w:bCs w:val="1"/>
                <w:color w:val="auto"/>
              </w:rPr>
              <w:t>(as Adjusted)</w:t>
            </w:r>
          </w:p>
        </w:tc>
        <w:tc>
          <w:tcPr>
            <w:tcW w:w="0" w:type="dxa"/>
            <w:vAlign w:val="bottom"/>
          </w:tcPr>
          <w:p>
            <w:pPr>
              <w:spacing w:after="0"/>
              <w:rPr>
                <w:sz w:val="1"/>
                <w:szCs w:val="1"/>
                <w:color w:val="auto"/>
              </w:rPr>
            </w:pPr>
          </w:p>
        </w:tc>
      </w:tr>
      <w:tr>
        <w:trPr>
          <w:trHeight w:val="52"/>
        </w:trPr>
        <w:tc>
          <w:tcPr>
            <w:tcW w:w="626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6260" w:type="dxa"/>
            <w:vAlign w:val="bottom"/>
            <w:shd w:val="clear" w:color="auto" w:fill="CCEDFF"/>
          </w:tcPr>
          <w:p>
            <w:pPr>
              <w:spacing w:after="0" w:line="156" w:lineRule="exact"/>
              <w:rPr>
                <w:sz w:val="20"/>
                <w:szCs w:val="20"/>
                <w:color w:val="auto"/>
              </w:rPr>
            </w:pPr>
            <w:r>
              <w:rPr>
                <w:rFonts w:ascii="Arial" w:cs="Arial" w:eastAsia="Arial" w:hAnsi="Arial"/>
                <w:sz w:val="15"/>
                <w:szCs w:val="15"/>
                <w:color w:val="auto"/>
              </w:rPr>
              <w:t>Cash and restricted cash</w:t>
            </w:r>
          </w:p>
        </w:tc>
        <w:tc>
          <w:tcPr>
            <w:tcW w:w="120" w:type="dxa"/>
            <w:vAlign w:val="bottom"/>
            <w:shd w:val="clear" w:color="auto" w:fill="CCEDFF"/>
          </w:tcPr>
          <w:p>
            <w:pPr>
              <w:jc w:val="right"/>
              <w:spacing w:after="0" w:line="156" w:lineRule="exact"/>
              <w:rPr>
                <w:sz w:val="20"/>
                <w:szCs w:val="20"/>
                <w:color w:val="auto"/>
              </w:rPr>
            </w:pPr>
            <w:r>
              <w:rPr>
                <w:rFonts w:ascii="Arial" w:cs="Arial" w:eastAsia="Arial" w:hAnsi="Arial"/>
                <w:sz w:val="15"/>
                <w:szCs w:val="15"/>
                <w:color w:val="auto"/>
                <w:w w:val="71"/>
              </w:rPr>
              <w:t>$</w:t>
            </w:r>
          </w:p>
        </w:tc>
        <w:tc>
          <w:tcPr>
            <w:tcW w:w="1460" w:type="dxa"/>
            <w:vAlign w:val="bottom"/>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3,408</w:t>
            </w:r>
          </w:p>
        </w:tc>
        <w:tc>
          <w:tcPr>
            <w:tcW w:w="280" w:type="dxa"/>
            <w:vAlign w:val="bottom"/>
            <w:gridSpan w:val="2"/>
            <w:shd w:val="clear" w:color="auto" w:fill="CCEDFF"/>
          </w:tcPr>
          <w:p>
            <w:pPr>
              <w:jc w:val="right"/>
              <w:spacing w:after="0" w:line="156" w:lineRule="exact"/>
              <w:rPr>
                <w:sz w:val="20"/>
                <w:szCs w:val="20"/>
                <w:color w:val="auto"/>
              </w:rPr>
            </w:pPr>
            <w:r>
              <w:rPr>
                <w:rFonts w:ascii="Arial" w:cs="Arial" w:eastAsia="Arial" w:hAnsi="Arial"/>
                <w:sz w:val="15"/>
                <w:szCs w:val="15"/>
                <w:color w:val="auto"/>
              </w:rPr>
              <w:t>$</w:t>
            </w:r>
          </w:p>
        </w:tc>
        <w:tc>
          <w:tcPr>
            <w:tcW w:w="1420" w:type="dxa"/>
            <w:vAlign w:val="bottom"/>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DFF"/>
          </w:tcPr>
          <w:p>
            <w:pPr>
              <w:jc w:val="right"/>
              <w:ind w:right="20"/>
              <w:spacing w:after="0" w:line="156" w:lineRule="exact"/>
              <w:rPr>
                <w:sz w:val="20"/>
                <w:szCs w:val="20"/>
                <w:color w:val="auto"/>
              </w:rPr>
            </w:pPr>
            <w:r>
              <w:rPr>
                <w:rFonts w:ascii="Arial" w:cs="Arial" w:eastAsia="Arial" w:hAnsi="Arial"/>
                <w:sz w:val="15"/>
                <w:szCs w:val="15"/>
                <w:color w:val="auto"/>
              </w:rPr>
              <w:t>$</w:t>
            </w:r>
          </w:p>
        </w:tc>
        <w:tc>
          <w:tcPr>
            <w:tcW w:w="1440" w:type="dxa"/>
            <w:vAlign w:val="bottom"/>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3,408</w:t>
            </w:r>
          </w:p>
        </w:tc>
        <w:tc>
          <w:tcPr>
            <w:tcW w:w="0" w:type="dxa"/>
            <w:vAlign w:val="bottom"/>
          </w:tcPr>
          <w:p>
            <w:pPr>
              <w:spacing w:after="0"/>
              <w:rPr>
                <w:sz w:val="1"/>
                <w:szCs w:val="1"/>
                <w:color w:val="auto"/>
              </w:rPr>
            </w:pPr>
          </w:p>
        </w:tc>
      </w:tr>
      <w:tr>
        <w:trPr>
          <w:trHeight w:val="162"/>
        </w:trPr>
        <w:tc>
          <w:tcPr>
            <w:tcW w:w="6260" w:type="dxa"/>
            <w:vAlign w:val="bottom"/>
          </w:tcPr>
          <w:p>
            <w:pPr>
              <w:spacing w:after="0" w:line="162" w:lineRule="exact"/>
              <w:rPr>
                <w:sz w:val="20"/>
                <w:szCs w:val="20"/>
                <w:color w:val="auto"/>
              </w:rPr>
            </w:pPr>
            <w:r>
              <w:rPr>
                <w:rFonts w:ascii="Arial" w:cs="Arial" w:eastAsia="Arial" w:hAnsi="Arial"/>
                <w:sz w:val="15"/>
                <w:szCs w:val="15"/>
                <w:color w:val="auto"/>
              </w:rPr>
              <w:t>Trade receivables</w:t>
            </w:r>
          </w:p>
        </w:tc>
        <w:tc>
          <w:tcPr>
            <w:tcW w:w="120" w:type="dxa"/>
            <w:vAlign w:val="bottom"/>
          </w:tcPr>
          <w:p>
            <w:pPr>
              <w:spacing w:after="0"/>
              <w:rPr>
                <w:sz w:val="14"/>
                <w:szCs w:val="14"/>
                <w:color w:val="auto"/>
              </w:rPr>
            </w:pPr>
          </w:p>
        </w:tc>
        <w:tc>
          <w:tcPr>
            <w:tcW w:w="14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13,059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13,059</w:t>
            </w:r>
          </w:p>
        </w:tc>
        <w:tc>
          <w:tcPr>
            <w:tcW w:w="0" w:type="dxa"/>
            <w:vAlign w:val="bottom"/>
          </w:tcPr>
          <w:p>
            <w:pPr>
              <w:spacing w:after="0"/>
              <w:rPr>
                <w:sz w:val="1"/>
                <w:szCs w:val="1"/>
                <w:color w:val="auto"/>
              </w:rPr>
            </w:pPr>
          </w:p>
        </w:tc>
      </w:tr>
      <w:tr>
        <w:trPr>
          <w:trHeight w:val="162"/>
        </w:trPr>
        <w:tc>
          <w:tcPr>
            <w:tcW w:w="6260" w:type="dxa"/>
            <w:vAlign w:val="bottom"/>
            <w:shd w:val="clear" w:color="auto" w:fill="CCEDFF"/>
          </w:tcPr>
          <w:p>
            <w:pPr>
              <w:spacing w:after="0" w:line="162" w:lineRule="exact"/>
              <w:rPr>
                <w:sz w:val="20"/>
                <w:szCs w:val="20"/>
                <w:color w:val="auto"/>
              </w:rPr>
            </w:pPr>
            <w:r>
              <w:rPr>
                <w:rFonts w:ascii="Arial" w:cs="Arial" w:eastAsia="Arial" w:hAnsi="Arial"/>
                <w:sz w:val="14"/>
                <w:szCs w:val="14"/>
                <w:color w:val="auto"/>
              </w:rPr>
              <w:t xml:space="preserve">Inventories </w:t>
            </w:r>
            <w:r>
              <w:rPr>
                <w:rFonts w:ascii="Arial" w:cs="Arial" w:eastAsia="Arial" w:hAnsi="Arial"/>
                <w:sz w:val="18"/>
                <w:szCs w:val="18"/>
                <w:color w:val="auto"/>
                <w:vertAlign w:val="superscript"/>
              </w:rPr>
              <w:t>(1)</w:t>
            </w:r>
          </w:p>
        </w:tc>
        <w:tc>
          <w:tcPr>
            <w:tcW w:w="120" w:type="dxa"/>
            <w:vAlign w:val="bottom"/>
            <w:shd w:val="clear" w:color="auto" w:fill="CCEDFF"/>
          </w:tcPr>
          <w:p>
            <w:pPr>
              <w:spacing w:after="0"/>
              <w:rPr>
                <w:sz w:val="14"/>
                <w:szCs w:val="14"/>
                <w:color w:val="auto"/>
              </w:rPr>
            </w:pPr>
          </w:p>
        </w:tc>
        <w:tc>
          <w:tcPr>
            <w:tcW w:w="146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13,238</w:t>
            </w:r>
          </w:p>
        </w:tc>
        <w:tc>
          <w:tcPr>
            <w:tcW w:w="140" w:type="dxa"/>
            <w:vAlign w:val="bottom"/>
            <w:shd w:val="clear" w:color="auto" w:fill="CCEDFF"/>
          </w:tcPr>
          <w:p>
            <w:pPr>
              <w:spacing w:after="0"/>
              <w:rPr>
                <w:sz w:val="14"/>
                <w:szCs w:val="14"/>
                <w:color w:val="auto"/>
              </w:rPr>
            </w:pPr>
          </w:p>
        </w:tc>
        <w:tc>
          <w:tcPr>
            <w:tcW w:w="140" w:type="dxa"/>
            <w:vAlign w:val="bottom"/>
            <w:shd w:val="clear" w:color="auto" w:fill="CCEDFF"/>
          </w:tcPr>
          <w:p>
            <w:pPr>
              <w:spacing w:after="0"/>
              <w:rPr>
                <w:sz w:val="14"/>
                <w:szCs w:val="14"/>
                <w:color w:val="auto"/>
              </w:rPr>
            </w:pPr>
          </w:p>
        </w:tc>
        <w:tc>
          <w:tcPr>
            <w:tcW w:w="1420" w:type="dxa"/>
            <w:vAlign w:val="bottom"/>
            <w:shd w:val="clear" w:color="auto" w:fill="CCEDFF"/>
          </w:tcPr>
          <w:p>
            <w:pPr>
              <w:jc w:val="right"/>
              <w:spacing w:after="0" w:line="162" w:lineRule="exact"/>
              <w:rPr>
                <w:sz w:val="20"/>
                <w:szCs w:val="20"/>
                <w:color w:val="auto"/>
              </w:rPr>
            </w:pPr>
            <w:r>
              <w:rPr>
                <w:rFonts w:ascii="Arial" w:cs="Arial" w:eastAsia="Arial" w:hAnsi="Arial"/>
                <w:sz w:val="15"/>
                <w:szCs w:val="15"/>
                <w:color w:val="auto"/>
              </w:rPr>
              <w:t>(1,273)</w:t>
            </w:r>
          </w:p>
        </w:tc>
        <w:tc>
          <w:tcPr>
            <w:tcW w:w="140" w:type="dxa"/>
            <w:vAlign w:val="bottom"/>
            <w:shd w:val="clear" w:color="auto" w:fill="CCEDFF"/>
          </w:tcPr>
          <w:p>
            <w:pPr>
              <w:spacing w:after="0"/>
              <w:rPr>
                <w:sz w:val="14"/>
                <w:szCs w:val="14"/>
                <w:color w:val="auto"/>
              </w:rPr>
            </w:pPr>
          </w:p>
        </w:tc>
        <w:tc>
          <w:tcPr>
            <w:tcW w:w="120" w:type="dxa"/>
            <w:vAlign w:val="bottom"/>
            <w:shd w:val="clear" w:color="auto" w:fill="CCEDFF"/>
          </w:tcPr>
          <w:p>
            <w:pPr>
              <w:spacing w:after="0"/>
              <w:rPr>
                <w:sz w:val="14"/>
                <w:szCs w:val="14"/>
                <w:color w:val="auto"/>
              </w:rPr>
            </w:pPr>
          </w:p>
        </w:tc>
        <w:tc>
          <w:tcPr>
            <w:tcW w:w="144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11,965</w:t>
            </w:r>
          </w:p>
        </w:tc>
        <w:tc>
          <w:tcPr>
            <w:tcW w:w="0" w:type="dxa"/>
            <w:vAlign w:val="bottom"/>
          </w:tcPr>
          <w:p>
            <w:pPr>
              <w:spacing w:after="0"/>
              <w:rPr>
                <w:sz w:val="1"/>
                <w:szCs w:val="1"/>
                <w:color w:val="auto"/>
              </w:rPr>
            </w:pPr>
          </w:p>
        </w:tc>
      </w:tr>
      <w:tr>
        <w:trPr>
          <w:trHeight w:val="162"/>
        </w:trPr>
        <w:tc>
          <w:tcPr>
            <w:tcW w:w="6260" w:type="dxa"/>
            <w:vAlign w:val="bottom"/>
          </w:tcPr>
          <w:p>
            <w:pPr>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20" w:type="dxa"/>
            <w:vAlign w:val="bottom"/>
          </w:tcPr>
          <w:p>
            <w:pPr>
              <w:spacing w:after="0"/>
              <w:rPr>
                <w:sz w:val="14"/>
                <w:szCs w:val="14"/>
                <w:color w:val="auto"/>
              </w:rPr>
            </w:pPr>
          </w:p>
        </w:tc>
        <w:tc>
          <w:tcPr>
            <w:tcW w:w="14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483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483</w:t>
            </w:r>
          </w:p>
        </w:tc>
        <w:tc>
          <w:tcPr>
            <w:tcW w:w="0" w:type="dxa"/>
            <w:vAlign w:val="bottom"/>
          </w:tcPr>
          <w:p>
            <w:pPr>
              <w:spacing w:after="0"/>
              <w:rPr>
                <w:sz w:val="1"/>
                <w:szCs w:val="1"/>
                <w:color w:val="auto"/>
              </w:rPr>
            </w:pPr>
          </w:p>
        </w:tc>
      </w:tr>
      <w:tr>
        <w:trPr>
          <w:trHeight w:val="162"/>
        </w:trPr>
        <w:tc>
          <w:tcPr>
            <w:tcW w:w="626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Property and equipment</w:t>
            </w:r>
          </w:p>
        </w:tc>
        <w:tc>
          <w:tcPr>
            <w:tcW w:w="120" w:type="dxa"/>
            <w:vAlign w:val="bottom"/>
            <w:shd w:val="clear" w:color="auto" w:fill="CCEDFF"/>
          </w:tcPr>
          <w:p>
            <w:pPr>
              <w:spacing w:after="0"/>
              <w:rPr>
                <w:sz w:val="14"/>
                <w:szCs w:val="14"/>
                <w:color w:val="auto"/>
              </w:rPr>
            </w:pPr>
          </w:p>
        </w:tc>
        <w:tc>
          <w:tcPr>
            <w:tcW w:w="146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8,576</w:t>
            </w:r>
          </w:p>
        </w:tc>
        <w:tc>
          <w:tcPr>
            <w:tcW w:w="140" w:type="dxa"/>
            <w:vAlign w:val="bottom"/>
            <w:shd w:val="clear" w:color="auto" w:fill="CCEDFF"/>
          </w:tcPr>
          <w:p>
            <w:pPr>
              <w:spacing w:after="0"/>
              <w:rPr>
                <w:sz w:val="14"/>
                <w:szCs w:val="14"/>
                <w:color w:val="auto"/>
              </w:rPr>
            </w:pPr>
          </w:p>
        </w:tc>
        <w:tc>
          <w:tcPr>
            <w:tcW w:w="140" w:type="dxa"/>
            <w:vAlign w:val="bottom"/>
            <w:shd w:val="clear" w:color="auto" w:fill="CCEDFF"/>
          </w:tcPr>
          <w:p>
            <w:pPr>
              <w:spacing w:after="0"/>
              <w:rPr>
                <w:sz w:val="14"/>
                <w:szCs w:val="14"/>
                <w:color w:val="auto"/>
              </w:rPr>
            </w:pPr>
          </w:p>
        </w:tc>
        <w:tc>
          <w:tcPr>
            <w:tcW w:w="142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DFF"/>
          </w:tcPr>
          <w:p>
            <w:pPr>
              <w:spacing w:after="0"/>
              <w:rPr>
                <w:sz w:val="14"/>
                <w:szCs w:val="14"/>
                <w:color w:val="auto"/>
              </w:rPr>
            </w:pPr>
          </w:p>
        </w:tc>
        <w:tc>
          <w:tcPr>
            <w:tcW w:w="120" w:type="dxa"/>
            <w:vAlign w:val="bottom"/>
            <w:shd w:val="clear" w:color="auto" w:fill="CCEDFF"/>
          </w:tcPr>
          <w:p>
            <w:pPr>
              <w:spacing w:after="0"/>
              <w:rPr>
                <w:sz w:val="14"/>
                <w:szCs w:val="14"/>
                <w:color w:val="auto"/>
              </w:rPr>
            </w:pPr>
          </w:p>
        </w:tc>
        <w:tc>
          <w:tcPr>
            <w:tcW w:w="144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8,576</w:t>
            </w:r>
          </w:p>
        </w:tc>
        <w:tc>
          <w:tcPr>
            <w:tcW w:w="0" w:type="dxa"/>
            <w:vAlign w:val="bottom"/>
          </w:tcPr>
          <w:p>
            <w:pPr>
              <w:spacing w:after="0"/>
              <w:rPr>
                <w:sz w:val="1"/>
                <w:szCs w:val="1"/>
                <w:color w:val="auto"/>
              </w:rPr>
            </w:pPr>
          </w:p>
        </w:tc>
      </w:tr>
      <w:tr>
        <w:trPr>
          <w:trHeight w:val="162"/>
        </w:trPr>
        <w:tc>
          <w:tcPr>
            <w:tcW w:w="6260" w:type="dxa"/>
            <w:vAlign w:val="bottom"/>
          </w:tcPr>
          <w:p>
            <w:pPr>
              <w:spacing w:after="0" w:line="162" w:lineRule="exact"/>
              <w:rPr>
                <w:sz w:val="20"/>
                <w:szCs w:val="20"/>
                <w:color w:val="auto"/>
              </w:rPr>
            </w:pPr>
            <w:r>
              <w:rPr>
                <w:rFonts w:ascii="Arial" w:cs="Arial" w:eastAsia="Arial" w:hAnsi="Arial"/>
                <w:sz w:val="15"/>
                <w:szCs w:val="15"/>
                <w:color w:val="auto"/>
              </w:rPr>
              <w:t>Right-of-use assets – operating</w:t>
            </w:r>
          </w:p>
        </w:tc>
        <w:tc>
          <w:tcPr>
            <w:tcW w:w="120" w:type="dxa"/>
            <w:vAlign w:val="bottom"/>
          </w:tcPr>
          <w:p>
            <w:pPr>
              <w:spacing w:after="0"/>
              <w:rPr>
                <w:sz w:val="14"/>
                <w:szCs w:val="14"/>
                <w:color w:val="auto"/>
              </w:rPr>
            </w:pPr>
          </w:p>
        </w:tc>
        <w:tc>
          <w:tcPr>
            <w:tcW w:w="14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1,193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1,193</w:t>
            </w:r>
          </w:p>
        </w:tc>
        <w:tc>
          <w:tcPr>
            <w:tcW w:w="0" w:type="dxa"/>
            <w:vAlign w:val="bottom"/>
          </w:tcPr>
          <w:p>
            <w:pPr>
              <w:spacing w:after="0"/>
              <w:rPr>
                <w:sz w:val="1"/>
                <w:szCs w:val="1"/>
                <w:color w:val="auto"/>
              </w:rPr>
            </w:pPr>
          </w:p>
        </w:tc>
      </w:tr>
      <w:tr>
        <w:trPr>
          <w:trHeight w:val="162"/>
        </w:trPr>
        <w:tc>
          <w:tcPr>
            <w:tcW w:w="626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Other long-term assets</w:t>
            </w:r>
          </w:p>
        </w:tc>
        <w:tc>
          <w:tcPr>
            <w:tcW w:w="120" w:type="dxa"/>
            <w:vAlign w:val="bottom"/>
            <w:shd w:val="clear" w:color="auto" w:fill="CCEDFF"/>
          </w:tcPr>
          <w:p>
            <w:pPr>
              <w:spacing w:after="0"/>
              <w:rPr>
                <w:sz w:val="14"/>
                <w:szCs w:val="14"/>
                <w:color w:val="auto"/>
              </w:rPr>
            </w:pPr>
          </w:p>
        </w:tc>
        <w:tc>
          <w:tcPr>
            <w:tcW w:w="146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51</w:t>
            </w:r>
          </w:p>
        </w:tc>
        <w:tc>
          <w:tcPr>
            <w:tcW w:w="140" w:type="dxa"/>
            <w:vAlign w:val="bottom"/>
            <w:shd w:val="clear" w:color="auto" w:fill="CCEDFF"/>
          </w:tcPr>
          <w:p>
            <w:pPr>
              <w:spacing w:after="0"/>
              <w:rPr>
                <w:sz w:val="14"/>
                <w:szCs w:val="14"/>
                <w:color w:val="auto"/>
              </w:rPr>
            </w:pPr>
          </w:p>
        </w:tc>
        <w:tc>
          <w:tcPr>
            <w:tcW w:w="140" w:type="dxa"/>
            <w:vAlign w:val="bottom"/>
            <w:shd w:val="clear" w:color="auto" w:fill="CCEDFF"/>
          </w:tcPr>
          <w:p>
            <w:pPr>
              <w:spacing w:after="0"/>
              <w:rPr>
                <w:sz w:val="14"/>
                <w:szCs w:val="14"/>
                <w:color w:val="auto"/>
              </w:rPr>
            </w:pPr>
          </w:p>
        </w:tc>
        <w:tc>
          <w:tcPr>
            <w:tcW w:w="142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DFF"/>
          </w:tcPr>
          <w:p>
            <w:pPr>
              <w:spacing w:after="0"/>
              <w:rPr>
                <w:sz w:val="14"/>
                <w:szCs w:val="14"/>
                <w:color w:val="auto"/>
              </w:rPr>
            </w:pPr>
          </w:p>
        </w:tc>
        <w:tc>
          <w:tcPr>
            <w:tcW w:w="120" w:type="dxa"/>
            <w:vAlign w:val="bottom"/>
            <w:shd w:val="clear" w:color="auto" w:fill="CCEDFF"/>
          </w:tcPr>
          <w:p>
            <w:pPr>
              <w:spacing w:after="0"/>
              <w:rPr>
                <w:sz w:val="14"/>
                <w:szCs w:val="14"/>
                <w:color w:val="auto"/>
              </w:rPr>
            </w:pPr>
          </w:p>
        </w:tc>
        <w:tc>
          <w:tcPr>
            <w:tcW w:w="144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62"/>
        </w:trPr>
        <w:tc>
          <w:tcPr>
            <w:tcW w:w="6260" w:type="dxa"/>
            <w:vAlign w:val="bottom"/>
          </w:tcPr>
          <w:p>
            <w:pPr>
              <w:spacing w:after="0" w:line="162" w:lineRule="exact"/>
              <w:rPr>
                <w:sz w:val="20"/>
                <w:szCs w:val="20"/>
                <w:color w:val="auto"/>
              </w:rPr>
            </w:pPr>
            <w:r>
              <w:rPr>
                <w:rFonts w:ascii="Arial" w:cs="Arial" w:eastAsia="Arial" w:hAnsi="Arial"/>
                <w:sz w:val="15"/>
                <w:szCs w:val="15"/>
                <w:color w:val="auto"/>
              </w:rPr>
              <w:t>Intangibles</w:t>
            </w: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23,800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23,800</w:t>
            </w:r>
          </w:p>
        </w:tc>
        <w:tc>
          <w:tcPr>
            <w:tcW w:w="0" w:type="dxa"/>
            <w:vAlign w:val="bottom"/>
          </w:tcPr>
          <w:p>
            <w:pPr>
              <w:spacing w:after="0"/>
              <w:rPr>
                <w:sz w:val="1"/>
                <w:szCs w:val="1"/>
                <w:color w:val="auto"/>
              </w:rPr>
            </w:pPr>
          </w:p>
        </w:tc>
      </w:tr>
      <w:tr>
        <w:trPr>
          <w:trHeight w:val="156"/>
        </w:trPr>
        <w:tc>
          <w:tcPr>
            <w:tcW w:w="6260" w:type="dxa"/>
            <w:vAlign w:val="bottom"/>
            <w:tcBorders>
              <w:bottom w:val="single" w:sz="8" w:color="CCEDFF"/>
            </w:tcBorders>
            <w:shd w:val="clear" w:color="auto" w:fill="CCEDFF"/>
          </w:tcPr>
          <w:p>
            <w:pPr>
              <w:ind w:left="240"/>
              <w:spacing w:after="0" w:line="156" w:lineRule="exact"/>
              <w:rPr>
                <w:sz w:val="20"/>
                <w:szCs w:val="20"/>
                <w:color w:val="auto"/>
              </w:rPr>
            </w:pPr>
            <w:r>
              <w:rPr>
                <w:rFonts w:ascii="Arial" w:cs="Arial" w:eastAsia="Arial" w:hAnsi="Arial"/>
                <w:sz w:val="15"/>
                <w:szCs w:val="15"/>
                <w:b w:val="1"/>
                <w:bCs w:val="1"/>
                <w:color w:val="auto"/>
              </w:rPr>
              <w:t>Total assets</w:t>
            </w:r>
          </w:p>
        </w:tc>
        <w:tc>
          <w:tcPr>
            <w:tcW w:w="120" w:type="dxa"/>
            <w:vAlign w:val="bottom"/>
            <w:tcBorders>
              <w:bottom w:val="single" w:sz="8" w:color="auto"/>
            </w:tcBorders>
            <w:shd w:val="clear" w:color="auto" w:fill="CCEDFF"/>
          </w:tcPr>
          <w:p>
            <w:pPr>
              <w:spacing w:after="0"/>
              <w:rPr>
                <w:sz w:val="13"/>
                <w:szCs w:val="13"/>
                <w:color w:val="auto"/>
              </w:rPr>
            </w:pPr>
          </w:p>
        </w:tc>
        <w:tc>
          <w:tcPr>
            <w:tcW w:w="1460" w:type="dxa"/>
            <w:vAlign w:val="bottom"/>
            <w:tcBorders>
              <w:bottom w:val="single" w:sz="8" w:color="auto"/>
            </w:tcBorders>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63,808</w:t>
            </w:r>
          </w:p>
        </w:tc>
        <w:tc>
          <w:tcPr>
            <w:tcW w:w="140" w:type="dxa"/>
            <w:vAlign w:val="bottom"/>
            <w:tcBorders>
              <w:bottom w:val="single" w:sz="8" w:color="CCEDFF"/>
            </w:tcBorders>
            <w:shd w:val="clear" w:color="auto" w:fill="CCEDFF"/>
          </w:tcPr>
          <w:p>
            <w:pPr>
              <w:spacing w:after="0"/>
              <w:rPr>
                <w:sz w:val="13"/>
                <w:szCs w:val="13"/>
                <w:color w:val="auto"/>
              </w:rPr>
            </w:pPr>
          </w:p>
        </w:tc>
        <w:tc>
          <w:tcPr>
            <w:tcW w:w="140" w:type="dxa"/>
            <w:vAlign w:val="bottom"/>
            <w:tcBorders>
              <w:bottom w:val="single" w:sz="8" w:color="auto"/>
            </w:tcBorders>
            <w:shd w:val="clear" w:color="auto" w:fill="CCEDFF"/>
          </w:tcPr>
          <w:p>
            <w:pPr>
              <w:spacing w:after="0"/>
              <w:rPr>
                <w:sz w:val="13"/>
                <w:szCs w:val="13"/>
                <w:color w:val="auto"/>
              </w:rPr>
            </w:pPr>
          </w:p>
        </w:tc>
        <w:tc>
          <w:tcPr>
            <w:tcW w:w="1420" w:type="dxa"/>
            <w:vAlign w:val="bottom"/>
            <w:tcBorders>
              <w:bottom w:val="single" w:sz="8" w:color="auto"/>
            </w:tcBorders>
            <w:shd w:val="clear" w:color="auto" w:fill="CCEDFF"/>
          </w:tcPr>
          <w:p>
            <w:pPr>
              <w:jc w:val="right"/>
              <w:spacing w:after="0" w:line="156" w:lineRule="exact"/>
              <w:rPr>
                <w:sz w:val="20"/>
                <w:szCs w:val="20"/>
                <w:color w:val="auto"/>
              </w:rPr>
            </w:pPr>
            <w:r>
              <w:rPr>
                <w:rFonts w:ascii="Arial" w:cs="Arial" w:eastAsia="Arial" w:hAnsi="Arial"/>
                <w:sz w:val="15"/>
                <w:szCs w:val="15"/>
                <w:color w:val="auto"/>
              </w:rPr>
              <w:t>(1,273)</w:t>
            </w:r>
          </w:p>
        </w:tc>
        <w:tc>
          <w:tcPr>
            <w:tcW w:w="140" w:type="dxa"/>
            <w:vAlign w:val="bottom"/>
            <w:tcBorders>
              <w:bottom w:val="single" w:sz="8" w:color="CCEDFF"/>
            </w:tcBorders>
            <w:shd w:val="clear" w:color="auto" w:fill="CCEDFF"/>
          </w:tcPr>
          <w:p>
            <w:pPr>
              <w:spacing w:after="0"/>
              <w:rPr>
                <w:sz w:val="13"/>
                <w:szCs w:val="13"/>
                <w:color w:val="auto"/>
              </w:rPr>
            </w:pPr>
          </w:p>
        </w:tc>
        <w:tc>
          <w:tcPr>
            <w:tcW w:w="120" w:type="dxa"/>
            <w:vAlign w:val="bottom"/>
            <w:tcBorders>
              <w:bottom w:val="single" w:sz="8" w:color="auto"/>
            </w:tcBorders>
            <w:shd w:val="clear" w:color="auto" w:fill="CCEDFF"/>
          </w:tcPr>
          <w:p>
            <w:pPr>
              <w:spacing w:after="0"/>
              <w:rPr>
                <w:sz w:val="13"/>
                <w:szCs w:val="13"/>
                <w:color w:val="auto"/>
              </w:rPr>
            </w:pPr>
          </w:p>
        </w:tc>
        <w:tc>
          <w:tcPr>
            <w:tcW w:w="1440" w:type="dxa"/>
            <w:vAlign w:val="bottom"/>
            <w:tcBorders>
              <w:bottom w:val="single" w:sz="8" w:color="auto"/>
            </w:tcBorders>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62,535</w:t>
            </w:r>
          </w:p>
        </w:tc>
        <w:tc>
          <w:tcPr>
            <w:tcW w:w="0" w:type="dxa"/>
            <w:vAlign w:val="bottom"/>
          </w:tcPr>
          <w:p>
            <w:pPr>
              <w:spacing w:after="0"/>
              <w:rPr>
                <w:sz w:val="1"/>
                <w:szCs w:val="1"/>
                <w:color w:val="auto"/>
              </w:rPr>
            </w:pPr>
          </w:p>
        </w:tc>
      </w:tr>
      <w:tr>
        <w:trPr>
          <w:trHeight w:val="155"/>
        </w:trPr>
        <w:tc>
          <w:tcPr>
            <w:tcW w:w="6260" w:type="dxa"/>
            <w:vAlign w:val="bottom"/>
          </w:tcPr>
          <w:p>
            <w:pPr>
              <w:spacing w:after="0" w:line="156" w:lineRule="exact"/>
              <w:rPr>
                <w:sz w:val="20"/>
                <w:szCs w:val="20"/>
                <w:color w:val="auto"/>
              </w:rPr>
            </w:pPr>
            <w:r>
              <w:rPr>
                <w:rFonts w:ascii="Arial" w:cs="Arial" w:eastAsia="Arial" w:hAnsi="Arial"/>
                <w:sz w:val="15"/>
                <w:szCs w:val="15"/>
                <w:color w:val="auto"/>
              </w:rPr>
              <w:t>Accounts payable</w:t>
            </w:r>
          </w:p>
        </w:tc>
        <w:tc>
          <w:tcPr>
            <w:tcW w:w="120" w:type="dxa"/>
            <w:vAlign w:val="bottom"/>
          </w:tcPr>
          <w:p>
            <w:pPr>
              <w:spacing w:after="0"/>
              <w:rPr>
                <w:sz w:val="13"/>
                <w:szCs w:val="13"/>
                <w:color w:val="auto"/>
              </w:rPr>
            </w:pPr>
          </w:p>
        </w:tc>
        <w:tc>
          <w:tcPr>
            <w:tcW w:w="1460" w:type="dxa"/>
            <w:vAlign w:val="bottom"/>
          </w:tcPr>
          <w:p>
            <w:pPr>
              <w:jc w:val="right"/>
              <w:ind w:right="44"/>
              <w:spacing w:after="0" w:line="156" w:lineRule="exact"/>
              <w:rPr>
                <w:sz w:val="20"/>
                <w:szCs w:val="20"/>
                <w:color w:val="auto"/>
              </w:rPr>
            </w:pPr>
            <w:r>
              <w:rPr>
                <w:rFonts w:ascii="Arial" w:cs="Arial" w:eastAsia="Arial" w:hAnsi="Arial"/>
                <w:sz w:val="15"/>
                <w:szCs w:val="15"/>
                <w:color w:val="auto"/>
              </w:rPr>
              <w:t>6,111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ind w:right="44"/>
              <w:spacing w:after="0" w:line="156"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44"/>
              <w:spacing w:after="0" w:line="156" w:lineRule="exact"/>
              <w:rPr>
                <w:sz w:val="20"/>
                <w:szCs w:val="20"/>
                <w:color w:val="auto"/>
              </w:rPr>
            </w:pPr>
            <w:r>
              <w:rPr>
                <w:rFonts w:ascii="Arial" w:cs="Arial" w:eastAsia="Arial" w:hAnsi="Arial"/>
                <w:sz w:val="15"/>
                <w:szCs w:val="15"/>
                <w:color w:val="auto"/>
              </w:rPr>
              <w:t>6,111</w:t>
            </w:r>
          </w:p>
        </w:tc>
        <w:tc>
          <w:tcPr>
            <w:tcW w:w="0" w:type="dxa"/>
            <w:vAlign w:val="bottom"/>
          </w:tcPr>
          <w:p>
            <w:pPr>
              <w:spacing w:after="0"/>
              <w:rPr>
                <w:sz w:val="1"/>
                <w:szCs w:val="1"/>
                <w:color w:val="auto"/>
              </w:rPr>
            </w:pPr>
          </w:p>
        </w:tc>
      </w:tr>
      <w:tr>
        <w:trPr>
          <w:trHeight w:val="162"/>
        </w:trPr>
        <w:tc>
          <w:tcPr>
            <w:tcW w:w="626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Accrued expenses</w:t>
            </w:r>
          </w:p>
        </w:tc>
        <w:tc>
          <w:tcPr>
            <w:tcW w:w="120" w:type="dxa"/>
            <w:vAlign w:val="bottom"/>
            <w:shd w:val="clear" w:color="auto" w:fill="CCEDFF"/>
          </w:tcPr>
          <w:p>
            <w:pPr>
              <w:spacing w:after="0"/>
              <w:rPr>
                <w:sz w:val="14"/>
                <w:szCs w:val="14"/>
                <w:color w:val="auto"/>
              </w:rPr>
            </w:pPr>
          </w:p>
        </w:tc>
        <w:tc>
          <w:tcPr>
            <w:tcW w:w="146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1,539</w:t>
            </w:r>
          </w:p>
        </w:tc>
        <w:tc>
          <w:tcPr>
            <w:tcW w:w="140" w:type="dxa"/>
            <w:vAlign w:val="bottom"/>
            <w:shd w:val="clear" w:color="auto" w:fill="CCEDFF"/>
          </w:tcPr>
          <w:p>
            <w:pPr>
              <w:spacing w:after="0"/>
              <w:rPr>
                <w:sz w:val="14"/>
                <w:szCs w:val="14"/>
                <w:color w:val="auto"/>
              </w:rPr>
            </w:pPr>
          </w:p>
        </w:tc>
        <w:tc>
          <w:tcPr>
            <w:tcW w:w="140" w:type="dxa"/>
            <w:vAlign w:val="bottom"/>
            <w:shd w:val="clear" w:color="auto" w:fill="CCEDFF"/>
          </w:tcPr>
          <w:p>
            <w:pPr>
              <w:spacing w:after="0"/>
              <w:rPr>
                <w:sz w:val="14"/>
                <w:szCs w:val="14"/>
                <w:color w:val="auto"/>
              </w:rPr>
            </w:pPr>
          </w:p>
        </w:tc>
        <w:tc>
          <w:tcPr>
            <w:tcW w:w="142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DFF"/>
          </w:tcPr>
          <w:p>
            <w:pPr>
              <w:spacing w:after="0"/>
              <w:rPr>
                <w:sz w:val="14"/>
                <w:szCs w:val="14"/>
                <w:color w:val="auto"/>
              </w:rPr>
            </w:pPr>
          </w:p>
        </w:tc>
        <w:tc>
          <w:tcPr>
            <w:tcW w:w="120" w:type="dxa"/>
            <w:vAlign w:val="bottom"/>
            <w:shd w:val="clear" w:color="auto" w:fill="CCEDFF"/>
          </w:tcPr>
          <w:p>
            <w:pPr>
              <w:spacing w:after="0"/>
              <w:rPr>
                <w:sz w:val="14"/>
                <w:szCs w:val="14"/>
                <w:color w:val="auto"/>
              </w:rPr>
            </w:pPr>
          </w:p>
        </w:tc>
        <w:tc>
          <w:tcPr>
            <w:tcW w:w="144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1,539</w:t>
            </w:r>
          </w:p>
        </w:tc>
        <w:tc>
          <w:tcPr>
            <w:tcW w:w="0" w:type="dxa"/>
            <w:vAlign w:val="bottom"/>
          </w:tcPr>
          <w:p>
            <w:pPr>
              <w:spacing w:after="0"/>
              <w:rPr>
                <w:sz w:val="1"/>
                <w:szCs w:val="1"/>
                <w:color w:val="auto"/>
              </w:rPr>
            </w:pPr>
          </w:p>
        </w:tc>
      </w:tr>
      <w:tr>
        <w:trPr>
          <w:trHeight w:val="162"/>
        </w:trPr>
        <w:tc>
          <w:tcPr>
            <w:tcW w:w="6260" w:type="dxa"/>
            <w:vAlign w:val="bottom"/>
          </w:tcPr>
          <w:p>
            <w:pPr>
              <w:spacing w:after="0" w:line="162" w:lineRule="exact"/>
              <w:rPr>
                <w:sz w:val="20"/>
                <w:szCs w:val="20"/>
                <w:color w:val="auto"/>
              </w:rPr>
            </w:pPr>
            <w:r>
              <w:rPr>
                <w:rFonts w:ascii="Arial" w:cs="Arial" w:eastAsia="Arial" w:hAnsi="Arial"/>
                <w:sz w:val="15"/>
                <w:szCs w:val="15"/>
                <w:color w:val="auto"/>
              </w:rPr>
              <w:t>Operating lease liabilities - current</w:t>
            </w:r>
          </w:p>
        </w:tc>
        <w:tc>
          <w:tcPr>
            <w:tcW w:w="120" w:type="dxa"/>
            <w:vAlign w:val="bottom"/>
          </w:tcPr>
          <w:p>
            <w:pPr>
              <w:spacing w:after="0"/>
              <w:rPr>
                <w:sz w:val="14"/>
                <w:szCs w:val="14"/>
                <w:color w:val="auto"/>
              </w:rPr>
            </w:pPr>
          </w:p>
        </w:tc>
        <w:tc>
          <w:tcPr>
            <w:tcW w:w="14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552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552</w:t>
            </w:r>
          </w:p>
        </w:tc>
        <w:tc>
          <w:tcPr>
            <w:tcW w:w="0" w:type="dxa"/>
            <w:vAlign w:val="bottom"/>
          </w:tcPr>
          <w:p>
            <w:pPr>
              <w:spacing w:after="0"/>
              <w:rPr>
                <w:sz w:val="1"/>
                <w:szCs w:val="1"/>
                <w:color w:val="auto"/>
              </w:rPr>
            </w:pPr>
          </w:p>
        </w:tc>
      </w:tr>
      <w:tr>
        <w:trPr>
          <w:trHeight w:val="162"/>
        </w:trPr>
        <w:tc>
          <w:tcPr>
            <w:tcW w:w="626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Other current liabilities</w:t>
            </w:r>
          </w:p>
        </w:tc>
        <w:tc>
          <w:tcPr>
            <w:tcW w:w="120" w:type="dxa"/>
            <w:vAlign w:val="bottom"/>
            <w:shd w:val="clear" w:color="auto" w:fill="CCEDFF"/>
          </w:tcPr>
          <w:p>
            <w:pPr>
              <w:spacing w:after="0"/>
              <w:rPr>
                <w:sz w:val="14"/>
                <w:szCs w:val="14"/>
                <w:color w:val="auto"/>
              </w:rPr>
            </w:pPr>
          </w:p>
        </w:tc>
        <w:tc>
          <w:tcPr>
            <w:tcW w:w="146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143</w:t>
            </w:r>
          </w:p>
        </w:tc>
        <w:tc>
          <w:tcPr>
            <w:tcW w:w="140" w:type="dxa"/>
            <w:vAlign w:val="bottom"/>
            <w:shd w:val="clear" w:color="auto" w:fill="CCEDFF"/>
          </w:tcPr>
          <w:p>
            <w:pPr>
              <w:spacing w:after="0"/>
              <w:rPr>
                <w:sz w:val="14"/>
                <w:szCs w:val="14"/>
                <w:color w:val="auto"/>
              </w:rPr>
            </w:pPr>
          </w:p>
        </w:tc>
        <w:tc>
          <w:tcPr>
            <w:tcW w:w="140" w:type="dxa"/>
            <w:vAlign w:val="bottom"/>
            <w:shd w:val="clear" w:color="auto" w:fill="CCEDFF"/>
          </w:tcPr>
          <w:p>
            <w:pPr>
              <w:spacing w:after="0"/>
              <w:rPr>
                <w:sz w:val="14"/>
                <w:szCs w:val="14"/>
                <w:color w:val="auto"/>
              </w:rPr>
            </w:pPr>
          </w:p>
        </w:tc>
        <w:tc>
          <w:tcPr>
            <w:tcW w:w="142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DFF"/>
          </w:tcPr>
          <w:p>
            <w:pPr>
              <w:spacing w:after="0"/>
              <w:rPr>
                <w:sz w:val="14"/>
                <w:szCs w:val="14"/>
                <w:color w:val="auto"/>
              </w:rPr>
            </w:pPr>
          </w:p>
        </w:tc>
        <w:tc>
          <w:tcPr>
            <w:tcW w:w="120" w:type="dxa"/>
            <w:vAlign w:val="bottom"/>
            <w:shd w:val="clear" w:color="auto" w:fill="CCEDFF"/>
          </w:tcPr>
          <w:p>
            <w:pPr>
              <w:spacing w:after="0"/>
              <w:rPr>
                <w:sz w:val="14"/>
                <w:szCs w:val="14"/>
                <w:color w:val="auto"/>
              </w:rPr>
            </w:pPr>
          </w:p>
        </w:tc>
        <w:tc>
          <w:tcPr>
            <w:tcW w:w="144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162"/>
        </w:trPr>
        <w:tc>
          <w:tcPr>
            <w:tcW w:w="6260" w:type="dxa"/>
            <w:vAlign w:val="bottom"/>
          </w:tcPr>
          <w:p>
            <w:pPr>
              <w:spacing w:after="0" w:line="162" w:lineRule="exact"/>
              <w:rPr>
                <w:sz w:val="20"/>
                <w:szCs w:val="20"/>
                <w:color w:val="auto"/>
              </w:rPr>
            </w:pPr>
            <w:r>
              <w:rPr>
                <w:rFonts w:ascii="Arial" w:cs="Arial" w:eastAsia="Arial" w:hAnsi="Arial"/>
                <w:sz w:val="15"/>
                <w:szCs w:val="15"/>
                <w:color w:val="auto"/>
              </w:rPr>
              <w:t>Current portion of long-term debt and finance lease obligations</w:t>
            </w:r>
          </w:p>
        </w:tc>
        <w:tc>
          <w:tcPr>
            <w:tcW w:w="120" w:type="dxa"/>
            <w:vAlign w:val="bottom"/>
          </w:tcPr>
          <w:p>
            <w:pPr>
              <w:spacing w:after="0"/>
              <w:rPr>
                <w:sz w:val="14"/>
                <w:szCs w:val="14"/>
                <w:color w:val="auto"/>
              </w:rPr>
            </w:pPr>
          </w:p>
        </w:tc>
        <w:tc>
          <w:tcPr>
            <w:tcW w:w="14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762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762</w:t>
            </w:r>
          </w:p>
        </w:tc>
        <w:tc>
          <w:tcPr>
            <w:tcW w:w="0" w:type="dxa"/>
            <w:vAlign w:val="bottom"/>
          </w:tcPr>
          <w:p>
            <w:pPr>
              <w:spacing w:after="0"/>
              <w:rPr>
                <w:sz w:val="1"/>
                <w:szCs w:val="1"/>
                <w:color w:val="auto"/>
              </w:rPr>
            </w:pPr>
          </w:p>
        </w:tc>
      </w:tr>
      <w:tr>
        <w:trPr>
          <w:trHeight w:val="162"/>
        </w:trPr>
        <w:tc>
          <w:tcPr>
            <w:tcW w:w="626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Operating lease liabilities - noncurrent</w:t>
            </w:r>
          </w:p>
        </w:tc>
        <w:tc>
          <w:tcPr>
            <w:tcW w:w="120" w:type="dxa"/>
            <w:vAlign w:val="bottom"/>
            <w:shd w:val="clear" w:color="auto" w:fill="CCEDFF"/>
          </w:tcPr>
          <w:p>
            <w:pPr>
              <w:spacing w:after="0"/>
              <w:rPr>
                <w:sz w:val="14"/>
                <w:szCs w:val="14"/>
                <w:color w:val="auto"/>
              </w:rPr>
            </w:pPr>
          </w:p>
        </w:tc>
        <w:tc>
          <w:tcPr>
            <w:tcW w:w="146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641</w:t>
            </w:r>
          </w:p>
        </w:tc>
        <w:tc>
          <w:tcPr>
            <w:tcW w:w="140" w:type="dxa"/>
            <w:vAlign w:val="bottom"/>
            <w:shd w:val="clear" w:color="auto" w:fill="CCEDFF"/>
          </w:tcPr>
          <w:p>
            <w:pPr>
              <w:spacing w:after="0"/>
              <w:rPr>
                <w:sz w:val="14"/>
                <w:szCs w:val="14"/>
                <w:color w:val="auto"/>
              </w:rPr>
            </w:pPr>
          </w:p>
        </w:tc>
        <w:tc>
          <w:tcPr>
            <w:tcW w:w="140" w:type="dxa"/>
            <w:vAlign w:val="bottom"/>
            <w:shd w:val="clear" w:color="auto" w:fill="CCEDFF"/>
          </w:tcPr>
          <w:p>
            <w:pPr>
              <w:spacing w:after="0"/>
              <w:rPr>
                <w:sz w:val="14"/>
                <w:szCs w:val="14"/>
                <w:color w:val="auto"/>
              </w:rPr>
            </w:pPr>
          </w:p>
        </w:tc>
        <w:tc>
          <w:tcPr>
            <w:tcW w:w="142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DFF"/>
          </w:tcPr>
          <w:p>
            <w:pPr>
              <w:spacing w:after="0"/>
              <w:rPr>
                <w:sz w:val="14"/>
                <w:szCs w:val="14"/>
                <w:color w:val="auto"/>
              </w:rPr>
            </w:pPr>
          </w:p>
        </w:tc>
        <w:tc>
          <w:tcPr>
            <w:tcW w:w="120" w:type="dxa"/>
            <w:vAlign w:val="bottom"/>
            <w:shd w:val="clear" w:color="auto" w:fill="CCEDFF"/>
          </w:tcPr>
          <w:p>
            <w:pPr>
              <w:spacing w:after="0"/>
              <w:rPr>
                <w:sz w:val="14"/>
                <w:szCs w:val="14"/>
                <w:color w:val="auto"/>
              </w:rPr>
            </w:pPr>
          </w:p>
        </w:tc>
        <w:tc>
          <w:tcPr>
            <w:tcW w:w="144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641</w:t>
            </w:r>
          </w:p>
        </w:tc>
        <w:tc>
          <w:tcPr>
            <w:tcW w:w="0" w:type="dxa"/>
            <w:vAlign w:val="bottom"/>
          </w:tcPr>
          <w:p>
            <w:pPr>
              <w:spacing w:after="0"/>
              <w:rPr>
                <w:sz w:val="1"/>
                <w:szCs w:val="1"/>
                <w:color w:val="auto"/>
              </w:rPr>
            </w:pPr>
          </w:p>
        </w:tc>
      </w:tr>
      <w:tr>
        <w:trPr>
          <w:trHeight w:val="162"/>
        </w:trPr>
        <w:tc>
          <w:tcPr>
            <w:tcW w:w="6260" w:type="dxa"/>
            <w:vAlign w:val="bottom"/>
          </w:tcPr>
          <w:p>
            <w:pPr>
              <w:spacing w:after="0" w:line="162" w:lineRule="exact"/>
              <w:rPr>
                <w:sz w:val="20"/>
                <w:szCs w:val="20"/>
                <w:color w:val="auto"/>
              </w:rPr>
            </w:pPr>
            <w:r>
              <w:rPr>
                <w:rFonts w:ascii="Arial" w:cs="Arial" w:eastAsia="Arial" w:hAnsi="Arial"/>
                <w:sz w:val="15"/>
                <w:szCs w:val="15"/>
                <w:color w:val="auto"/>
              </w:rPr>
              <w:t>Long-term debt and finance lease obligations</w:t>
            </w: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2,623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2,623</w:t>
            </w:r>
          </w:p>
        </w:tc>
        <w:tc>
          <w:tcPr>
            <w:tcW w:w="0" w:type="dxa"/>
            <w:vAlign w:val="bottom"/>
          </w:tcPr>
          <w:p>
            <w:pPr>
              <w:spacing w:after="0"/>
              <w:rPr>
                <w:sz w:val="1"/>
                <w:szCs w:val="1"/>
                <w:color w:val="auto"/>
              </w:rPr>
            </w:pPr>
          </w:p>
        </w:tc>
      </w:tr>
      <w:tr>
        <w:trPr>
          <w:trHeight w:val="155"/>
        </w:trPr>
        <w:tc>
          <w:tcPr>
            <w:tcW w:w="6260" w:type="dxa"/>
            <w:vAlign w:val="bottom"/>
            <w:tcBorders>
              <w:bottom w:val="single" w:sz="8" w:color="CCEDFF"/>
            </w:tcBorders>
            <w:shd w:val="clear" w:color="auto" w:fill="CCEDFF"/>
          </w:tcPr>
          <w:p>
            <w:pPr>
              <w:ind w:left="240"/>
              <w:spacing w:after="0" w:line="156" w:lineRule="exact"/>
              <w:rPr>
                <w:sz w:val="20"/>
                <w:szCs w:val="20"/>
                <w:color w:val="auto"/>
              </w:rPr>
            </w:pPr>
            <w:r>
              <w:rPr>
                <w:rFonts w:ascii="Arial" w:cs="Arial" w:eastAsia="Arial" w:hAnsi="Arial"/>
                <w:sz w:val="15"/>
                <w:szCs w:val="15"/>
                <w:b w:val="1"/>
                <w:bCs w:val="1"/>
                <w:color w:val="auto"/>
              </w:rPr>
              <w:t>Total liabilities</w:t>
            </w:r>
          </w:p>
        </w:tc>
        <w:tc>
          <w:tcPr>
            <w:tcW w:w="120" w:type="dxa"/>
            <w:vAlign w:val="bottom"/>
            <w:tcBorders>
              <w:bottom w:val="single" w:sz="8" w:color="auto"/>
            </w:tcBorders>
            <w:shd w:val="clear" w:color="auto" w:fill="CCEDFF"/>
          </w:tcPr>
          <w:p>
            <w:pPr>
              <w:spacing w:after="0"/>
              <w:rPr>
                <w:sz w:val="13"/>
                <w:szCs w:val="13"/>
                <w:color w:val="auto"/>
              </w:rPr>
            </w:pPr>
          </w:p>
        </w:tc>
        <w:tc>
          <w:tcPr>
            <w:tcW w:w="1460" w:type="dxa"/>
            <w:vAlign w:val="bottom"/>
            <w:tcBorders>
              <w:bottom w:val="single" w:sz="8" w:color="auto"/>
            </w:tcBorders>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12,371</w:t>
            </w:r>
          </w:p>
        </w:tc>
        <w:tc>
          <w:tcPr>
            <w:tcW w:w="140" w:type="dxa"/>
            <w:vAlign w:val="bottom"/>
            <w:tcBorders>
              <w:bottom w:val="single" w:sz="8" w:color="CCEDFF"/>
            </w:tcBorders>
            <w:shd w:val="clear" w:color="auto" w:fill="CCEDFF"/>
          </w:tcPr>
          <w:p>
            <w:pPr>
              <w:spacing w:after="0"/>
              <w:rPr>
                <w:sz w:val="13"/>
                <w:szCs w:val="13"/>
                <w:color w:val="auto"/>
              </w:rPr>
            </w:pPr>
          </w:p>
        </w:tc>
        <w:tc>
          <w:tcPr>
            <w:tcW w:w="140" w:type="dxa"/>
            <w:vAlign w:val="bottom"/>
            <w:tcBorders>
              <w:bottom w:val="single" w:sz="8" w:color="auto"/>
            </w:tcBorders>
            <w:shd w:val="clear" w:color="auto" w:fill="CCEDFF"/>
          </w:tcPr>
          <w:p>
            <w:pPr>
              <w:spacing w:after="0"/>
              <w:rPr>
                <w:sz w:val="13"/>
                <w:szCs w:val="13"/>
                <w:color w:val="auto"/>
              </w:rPr>
            </w:pPr>
          </w:p>
        </w:tc>
        <w:tc>
          <w:tcPr>
            <w:tcW w:w="1420" w:type="dxa"/>
            <w:vAlign w:val="bottom"/>
            <w:tcBorders>
              <w:bottom w:val="single" w:sz="8" w:color="auto"/>
            </w:tcBorders>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CCEDFF"/>
            </w:tcBorders>
            <w:shd w:val="clear" w:color="auto" w:fill="CCEDFF"/>
          </w:tcPr>
          <w:p>
            <w:pPr>
              <w:spacing w:after="0"/>
              <w:rPr>
                <w:sz w:val="13"/>
                <w:szCs w:val="13"/>
                <w:color w:val="auto"/>
              </w:rPr>
            </w:pPr>
          </w:p>
        </w:tc>
        <w:tc>
          <w:tcPr>
            <w:tcW w:w="120" w:type="dxa"/>
            <w:vAlign w:val="bottom"/>
            <w:tcBorders>
              <w:bottom w:val="single" w:sz="8" w:color="auto"/>
            </w:tcBorders>
            <w:shd w:val="clear" w:color="auto" w:fill="CCEDFF"/>
          </w:tcPr>
          <w:p>
            <w:pPr>
              <w:spacing w:after="0"/>
              <w:rPr>
                <w:sz w:val="13"/>
                <w:szCs w:val="13"/>
                <w:color w:val="auto"/>
              </w:rPr>
            </w:pPr>
          </w:p>
        </w:tc>
        <w:tc>
          <w:tcPr>
            <w:tcW w:w="1440" w:type="dxa"/>
            <w:vAlign w:val="bottom"/>
            <w:tcBorders>
              <w:bottom w:val="single" w:sz="8" w:color="auto"/>
            </w:tcBorders>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12,371</w:t>
            </w:r>
          </w:p>
        </w:tc>
        <w:tc>
          <w:tcPr>
            <w:tcW w:w="0" w:type="dxa"/>
            <w:vAlign w:val="bottom"/>
          </w:tcPr>
          <w:p>
            <w:pPr>
              <w:spacing w:after="0"/>
              <w:rPr>
                <w:sz w:val="1"/>
                <w:szCs w:val="1"/>
                <w:color w:val="auto"/>
              </w:rPr>
            </w:pPr>
          </w:p>
        </w:tc>
      </w:tr>
      <w:tr>
        <w:trPr>
          <w:trHeight w:val="156"/>
        </w:trPr>
        <w:tc>
          <w:tcPr>
            <w:tcW w:w="6260" w:type="dxa"/>
            <w:vAlign w:val="bottom"/>
          </w:tcPr>
          <w:p>
            <w:pPr>
              <w:spacing w:after="0" w:line="156" w:lineRule="exact"/>
              <w:rPr>
                <w:sz w:val="20"/>
                <w:szCs w:val="20"/>
                <w:color w:val="auto"/>
              </w:rPr>
            </w:pPr>
            <w:r>
              <w:rPr>
                <w:rFonts w:ascii="Arial" w:cs="Arial" w:eastAsia="Arial" w:hAnsi="Arial"/>
                <w:sz w:val="15"/>
                <w:szCs w:val="15"/>
                <w:b w:val="1"/>
                <w:bCs w:val="1"/>
                <w:color w:val="auto"/>
              </w:rPr>
              <w:t>Net assets acquired</w:t>
            </w:r>
          </w:p>
        </w:tc>
        <w:tc>
          <w:tcPr>
            <w:tcW w:w="120" w:type="dxa"/>
            <w:vAlign w:val="bottom"/>
          </w:tcPr>
          <w:p>
            <w:pPr>
              <w:spacing w:after="0"/>
              <w:rPr>
                <w:sz w:val="13"/>
                <w:szCs w:val="13"/>
                <w:color w:val="auto"/>
              </w:rPr>
            </w:pPr>
          </w:p>
        </w:tc>
        <w:tc>
          <w:tcPr>
            <w:tcW w:w="146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51,437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(1,273)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50,164</w:t>
            </w:r>
          </w:p>
        </w:tc>
        <w:tc>
          <w:tcPr>
            <w:tcW w:w="0" w:type="dxa"/>
            <w:vAlign w:val="bottom"/>
          </w:tcPr>
          <w:p>
            <w:pPr>
              <w:spacing w:after="0"/>
              <w:rPr>
                <w:sz w:val="1"/>
                <w:szCs w:val="1"/>
                <w:color w:val="auto"/>
              </w:rPr>
            </w:pPr>
          </w:p>
        </w:tc>
      </w:tr>
      <w:tr>
        <w:trPr>
          <w:trHeight w:val="162"/>
        </w:trPr>
        <w:tc>
          <w:tcPr>
            <w:tcW w:w="6260" w:type="dxa"/>
            <w:vAlign w:val="bottom"/>
            <w:tcBorders>
              <w:bottom w:val="single" w:sz="8" w:color="CCEDFF"/>
            </w:tcBorders>
            <w:shd w:val="clear" w:color="auto" w:fill="CCEDFF"/>
          </w:tcPr>
          <w:p>
            <w:pPr>
              <w:spacing w:after="0" w:line="162" w:lineRule="exact"/>
              <w:rPr>
                <w:sz w:val="20"/>
                <w:szCs w:val="20"/>
                <w:color w:val="auto"/>
              </w:rPr>
            </w:pPr>
            <w:r>
              <w:rPr>
                <w:rFonts w:ascii="Arial" w:cs="Arial" w:eastAsia="Arial" w:hAnsi="Arial"/>
                <w:sz w:val="15"/>
                <w:szCs w:val="15"/>
                <w:color w:val="auto"/>
              </w:rPr>
              <w:t>Goodwill</w:t>
            </w:r>
          </w:p>
        </w:tc>
        <w:tc>
          <w:tcPr>
            <w:tcW w:w="120" w:type="dxa"/>
            <w:vAlign w:val="bottom"/>
            <w:tcBorders>
              <w:bottom w:val="single" w:sz="8" w:color="auto"/>
            </w:tcBorders>
            <w:shd w:val="clear" w:color="auto" w:fill="CCEDFF"/>
          </w:tcPr>
          <w:p>
            <w:pPr>
              <w:spacing w:after="0"/>
              <w:rPr>
                <w:sz w:val="14"/>
                <w:szCs w:val="14"/>
                <w:color w:val="auto"/>
              </w:rPr>
            </w:pPr>
          </w:p>
        </w:tc>
        <w:tc>
          <w:tcPr>
            <w:tcW w:w="146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18,226</w:t>
            </w:r>
          </w:p>
        </w:tc>
        <w:tc>
          <w:tcPr>
            <w:tcW w:w="140" w:type="dxa"/>
            <w:vAlign w:val="bottom"/>
            <w:tcBorders>
              <w:bottom w:val="single" w:sz="8" w:color="CCEDFF"/>
            </w:tcBorders>
            <w:shd w:val="clear" w:color="auto" w:fill="CCEDFF"/>
          </w:tcPr>
          <w:p>
            <w:pPr>
              <w:spacing w:after="0"/>
              <w:rPr>
                <w:sz w:val="14"/>
                <w:szCs w:val="14"/>
                <w:color w:val="auto"/>
              </w:rPr>
            </w:pPr>
          </w:p>
        </w:tc>
        <w:tc>
          <w:tcPr>
            <w:tcW w:w="140" w:type="dxa"/>
            <w:vAlign w:val="bottom"/>
            <w:tcBorders>
              <w:bottom w:val="single" w:sz="8" w:color="auto"/>
            </w:tcBorders>
            <w:shd w:val="clear" w:color="auto" w:fill="CCEDFF"/>
          </w:tcPr>
          <w:p>
            <w:pPr>
              <w:spacing w:after="0"/>
              <w:rPr>
                <w:sz w:val="14"/>
                <w:szCs w:val="14"/>
                <w:color w:val="auto"/>
              </w:rPr>
            </w:pPr>
          </w:p>
        </w:tc>
        <w:tc>
          <w:tcPr>
            <w:tcW w:w="142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1,273</w:t>
            </w:r>
          </w:p>
        </w:tc>
        <w:tc>
          <w:tcPr>
            <w:tcW w:w="140" w:type="dxa"/>
            <w:vAlign w:val="bottom"/>
            <w:tcBorders>
              <w:bottom w:val="single" w:sz="8" w:color="CCEDFF"/>
            </w:tcBorders>
            <w:shd w:val="clear" w:color="auto" w:fill="CCEDFF"/>
          </w:tcPr>
          <w:p>
            <w:pPr>
              <w:spacing w:after="0"/>
              <w:rPr>
                <w:sz w:val="14"/>
                <w:szCs w:val="14"/>
                <w:color w:val="auto"/>
              </w:rPr>
            </w:pPr>
          </w:p>
        </w:tc>
        <w:tc>
          <w:tcPr>
            <w:tcW w:w="120" w:type="dxa"/>
            <w:vAlign w:val="bottom"/>
            <w:tcBorders>
              <w:bottom w:val="single" w:sz="8" w:color="auto"/>
            </w:tcBorders>
            <w:shd w:val="clear" w:color="auto" w:fill="CCEDFF"/>
          </w:tcPr>
          <w:p>
            <w:pPr>
              <w:spacing w:after="0"/>
              <w:rPr>
                <w:sz w:val="14"/>
                <w:szCs w:val="14"/>
                <w:color w:val="auto"/>
              </w:rPr>
            </w:pPr>
          </w:p>
        </w:tc>
        <w:tc>
          <w:tcPr>
            <w:tcW w:w="144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19,499</w:t>
            </w:r>
          </w:p>
        </w:tc>
        <w:tc>
          <w:tcPr>
            <w:tcW w:w="0" w:type="dxa"/>
            <w:vAlign w:val="bottom"/>
          </w:tcPr>
          <w:p>
            <w:pPr>
              <w:spacing w:after="0"/>
              <w:rPr>
                <w:sz w:val="1"/>
                <w:szCs w:val="1"/>
                <w:color w:val="auto"/>
              </w:rPr>
            </w:pPr>
          </w:p>
        </w:tc>
      </w:tr>
      <w:tr>
        <w:trPr>
          <w:trHeight w:val="156"/>
        </w:trPr>
        <w:tc>
          <w:tcPr>
            <w:tcW w:w="6260" w:type="dxa"/>
            <w:vAlign w:val="bottom"/>
          </w:tcPr>
          <w:p>
            <w:pPr>
              <w:spacing w:after="0" w:line="156" w:lineRule="exact"/>
              <w:rPr>
                <w:sz w:val="20"/>
                <w:szCs w:val="20"/>
                <w:color w:val="auto"/>
              </w:rPr>
            </w:pPr>
            <w:r>
              <w:rPr>
                <w:rFonts w:ascii="Arial" w:cs="Arial" w:eastAsia="Arial" w:hAnsi="Arial"/>
                <w:sz w:val="15"/>
                <w:szCs w:val="15"/>
                <w:b w:val="1"/>
                <w:bCs w:val="1"/>
                <w:color w:val="auto"/>
              </w:rPr>
              <w:t>Total purchase consideration</w:t>
            </w:r>
          </w:p>
        </w:tc>
        <w:tc>
          <w:tcPr>
            <w:tcW w:w="120" w:type="dxa"/>
            <w:vAlign w:val="bottom"/>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69,663</w:t>
            </w:r>
          </w:p>
        </w:tc>
        <w:tc>
          <w:tcPr>
            <w:tcW w:w="280" w:type="dxa"/>
            <w:vAlign w:val="bottom"/>
            <w:gridSpan w:val="2"/>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142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w:t>
            </w:r>
          </w:p>
        </w:tc>
        <w:tc>
          <w:tcPr>
            <w:tcW w:w="260" w:type="dxa"/>
            <w:vAlign w:val="bottom"/>
            <w:gridSpan w:val="2"/>
          </w:tcPr>
          <w:p>
            <w:pPr>
              <w:jc w:val="right"/>
              <w:ind w:right="20"/>
              <w:spacing w:after="0" w:line="156" w:lineRule="exact"/>
              <w:rPr>
                <w:sz w:val="20"/>
                <w:szCs w:val="20"/>
                <w:color w:val="auto"/>
              </w:rPr>
            </w:pPr>
            <w:r>
              <w:rPr>
                <w:rFonts w:ascii="Arial" w:cs="Arial" w:eastAsia="Arial" w:hAnsi="Arial"/>
                <w:sz w:val="15"/>
                <w:szCs w:val="15"/>
                <w:b w:val="1"/>
                <w:bCs w:val="1"/>
                <w:color w:val="auto"/>
              </w:rPr>
              <w:t>$</w:t>
            </w:r>
          </w:p>
        </w:tc>
        <w:tc>
          <w:tcPr>
            <w:tcW w:w="144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69,663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-1190625</wp:posOffset>
            </wp:positionV>
            <wp:extent cx="93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-1190625</wp:posOffset>
            </wp:positionV>
            <wp:extent cx="93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-350520</wp:posOffset>
            </wp:positionV>
            <wp:extent cx="939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-350520</wp:posOffset>
            </wp:positionV>
            <wp:extent cx="939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-136525</wp:posOffset>
            </wp:positionV>
            <wp:extent cx="939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-136525</wp:posOffset>
            </wp:positionV>
            <wp:extent cx="939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4"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3"/>
          <w:szCs w:val="13"/>
          <w:color w:val="auto"/>
        </w:rPr>
        <w:t>Measurement period adjustment recognized related to updated estimated fair value for acquired inventories.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incurred transaction costs of $1.2 million in connection with the acquisition. The costs have been expensed as incurred and recognized in </w:t>
      </w:r>
      <w:r>
        <w:rPr>
          <w:rFonts w:ascii="Arial" w:cs="Arial" w:eastAsia="Arial" w:hAnsi="Arial"/>
          <w:sz w:val="17"/>
          <w:szCs w:val="17"/>
          <w:i w:val="1"/>
          <w:iCs w:val="1"/>
          <w:color w:val="auto"/>
        </w:rPr>
        <w:t xml:space="preserve">Acquisition and integration costs </w:t>
      </w:r>
      <w:r>
        <w:rPr>
          <w:rFonts w:ascii="Arial" w:cs="Arial" w:eastAsia="Arial" w:hAnsi="Arial"/>
          <w:sz w:val="17"/>
          <w:szCs w:val="17"/>
          <w:color w:val="auto"/>
        </w:rPr>
        <w:t>in our Condensed Consolidated Statements of Operations and Comprehensive Income.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represents the detail of the intangible assets acquired and the respective amortization periods (amounts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00" w:type="dxa"/>
            <w:vAlign w:val="bottom"/>
          </w:tcPr>
          <w:p>
            <w:pPr>
              <w:spacing w:after="0"/>
              <w:rPr>
                <w:sz w:val="15"/>
                <w:szCs w:val="15"/>
                <w:color w:val="auto"/>
              </w:rPr>
            </w:pPr>
          </w:p>
        </w:tc>
        <w:tc>
          <w:tcPr>
            <w:tcW w:w="1920" w:type="dxa"/>
            <w:vAlign w:val="bottom"/>
            <w:gridSpan w:val="2"/>
          </w:tcPr>
          <w:p>
            <w:pPr>
              <w:jc w:val="center"/>
              <w:ind w:right="104"/>
              <w:spacing w:after="0"/>
              <w:rPr>
                <w:sz w:val="20"/>
                <w:szCs w:val="20"/>
                <w:color w:val="auto"/>
              </w:rPr>
            </w:pPr>
            <w:r>
              <w:rPr>
                <w:rFonts w:ascii="Arial" w:cs="Arial" w:eastAsia="Arial" w:hAnsi="Arial"/>
                <w:sz w:val="15"/>
                <w:szCs w:val="15"/>
                <w:b w:val="1"/>
                <w:bCs w:val="1"/>
                <w:color w:val="auto"/>
              </w:rPr>
              <w:t>Weighted Average</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2"/>
        </w:trPr>
        <w:tc>
          <w:tcPr>
            <w:tcW w:w="7300" w:type="dxa"/>
            <w:vAlign w:val="bottom"/>
          </w:tcPr>
          <w:p>
            <w:pPr>
              <w:spacing w:after="0"/>
              <w:rPr>
                <w:sz w:val="14"/>
                <w:szCs w:val="14"/>
                <w:color w:val="auto"/>
              </w:rPr>
            </w:pPr>
          </w:p>
        </w:tc>
        <w:tc>
          <w:tcPr>
            <w:tcW w:w="1380" w:type="dxa"/>
            <w:vAlign w:val="bottom"/>
          </w:tcPr>
          <w:p>
            <w:pPr>
              <w:jc w:val="center"/>
              <w:ind w:left="324"/>
              <w:spacing w:after="0" w:line="162" w:lineRule="exact"/>
              <w:rPr>
                <w:sz w:val="20"/>
                <w:szCs w:val="20"/>
                <w:color w:val="auto"/>
              </w:rPr>
            </w:pPr>
            <w:r>
              <w:rPr>
                <w:rFonts w:ascii="Arial" w:cs="Arial" w:eastAsia="Arial" w:hAnsi="Arial"/>
                <w:sz w:val="15"/>
                <w:szCs w:val="15"/>
                <w:b w:val="1"/>
                <w:bCs w:val="1"/>
                <w:color w:val="auto"/>
              </w:rPr>
              <w:t>Amortization</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1"/>
        </w:trPr>
        <w:tc>
          <w:tcPr>
            <w:tcW w:w="7300" w:type="dxa"/>
            <w:vAlign w:val="bottom"/>
          </w:tcPr>
          <w:p>
            <w:pPr>
              <w:spacing w:after="0"/>
              <w:rPr>
                <w:sz w:val="20"/>
                <w:szCs w:val="20"/>
                <w:color w:val="auto"/>
              </w:rPr>
            </w:pPr>
            <w:r>
              <w:rPr>
                <w:rFonts w:ascii="Arial" w:cs="Arial" w:eastAsia="Arial" w:hAnsi="Arial"/>
                <w:sz w:val="15"/>
                <w:szCs w:val="15"/>
                <w:b w:val="1"/>
                <w:bCs w:val="1"/>
                <w:color w:val="auto"/>
              </w:rPr>
              <w:t>Intangible Type</w:t>
            </w:r>
          </w:p>
        </w:tc>
        <w:tc>
          <w:tcPr>
            <w:tcW w:w="1380" w:type="dxa"/>
            <w:vAlign w:val="bottom"/>
            <w:tcBorders>
              <w:bottom w:val="single" w:sz="8" w:color="auto"/>
            </w:tcBorders>
          </w:tcPr>
          <w:p>
            <w:pPr>
              <w:jc w:val="center"/>
              <w:ind w:left="344"/>
              <w:spacing w:after="0"/>
              <w:rPr>
                <w:sz w:val="20"/>
                <w:szCs w:val="20"/>
                <w:color w:val="auto"/>
              </w:rPr>
            </w:pPr>
            <w:r>
              <w:rPr>
                <w:rFonts w:ascii="Arial" w:cs="Arial" w:eastAsia="Arial" w:hAnsi="Arial"/>
                <w:sz w:val="15"/>
                <w:szCs w:val="15"/>
                <w:b w:val="1"/>
                <w:bCs w:val="1"/>
                <w:color w:val="auto"/>
              </w:rPr>
              <w:t>Period</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b w:val="1"/>
                <w:bCs w:val="1"/>
                <w:color w:val="auto"/>
              </w:rPr>
              <w:t>Value</w:t>
            </w:r>
          </w:p>
        </w:tc>
      </w:tr>
      <w:tr>
        <w:trPr>
          <w:trHeight w:val="155"/>
        </w:trPr>
        <w:tc>
          <w:tcPr>
            <w:tcW w:w="7300" w:type="dxa"/>
            <w:vAlign w:val="bottom"/>
            <w:shd w:val="clear" w:color="auto" w:fill="CCEDFF"/>
          </w:tcPr>
          <w:p>
            <w:pPr>
              <w:spacing w:after="0" w:line="156" w:lineRule="exact"/>
              <w:rPr>
                <w:sz w:val="20"/>
                <w:szCs w:val="20"/>
                <w:color w:val="auto"/>
              </w:rPr>
            </w:pPr>
            <w:r>
              <w:rPr>
                <w:rFonts w:ascii="Arial" w:cs="Arial" w:eastAsia="Arial" w:hAnsi="Arial"/>
                <w:sz w:val="15"/>
                <w:szCs w:val="15"/>
                <w:color w:val="auto"/>
              </w:rPr>
              <w:t>Customer relationships</w:t>
            </w:r>
          </w:p>
        </w:tc>
        <w:tc>
          <w:tcPr>
            <w:tcW w:w="1380" w:type="dxa"/>
            <w:vAlign w:val="bottom"/>
            <w:shd w:val="clear" w:color="auto" w:fill="CCEDFF"/>
          </w:tcPr>
          <w:p>
            <w:pPr>
              <w:jc w:val="right"/>
              <w:spacing w:after="0" w:line="156" w:lineRule="exact"/>
              <w:rPr>
                <w:sz w:val="20"/>
                <w:szCs w:val="20"/>
                <w:color w:val="auto"/>
              </w:rPr>
            </w:pPr>
            <w:r>
              <w:rPr>
                <w:rFonts w:ascii="Arial" w:cs="Arial" w:eastAsia="Arial" w:hAnsi="Arial"/>
                <w:sz w:val="15"/>
                <w:szCs w:val="15"/>
                <w:color w:val="auto"/>
              </w:rPr>
              <w:t>10.0</w:t>
            </w:r>
          </w:p>
        </w:tc>
        <w:tc>
          <w:tcPr>
            <w:tcW w:w="540" w:type="dxa"/>
            <w:vAlign w:val="bottom"/>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Years</w:t>
            </w:r>
          </w:p>
        </w:tc>
        <w:tc>
          <w:tcPr>
            <w:tcW w:w="560" w:type="dxa"/>
            <w:vAlign w:val="bottom"/>
            <w:gridSpan w:val="2"/>
            <w:shd w:val="clear" w:color="auto" w:fill="CCEDFF"/>
          </w:tcPr>
          <w:p>
            <w:pPr>
              <w:jc w:val="right"/>
              <w:ind w:right="224"/>
              <w:spacing w:after="0" w:line="156" w:lineRule="exact"/>
              <w:rPr>
                <w:sz w:val="20"/>
                <w:szCs w:val="20"/>
                <w:color w:val="auto"/>
              </w:rPr>
            </w:pPr>
            <w:r>
              <w:rPr>
                <w:rFonts w:ascii="Arial" w:cs="Arial" w:eastAsia="Arial" w:hAnsi="Arial"/>
                <w:sz w:val="15"/>
                <w:szCs w:val="15"/>
                <w:color w:val="auto"/>
              </w:rPr>
              <w:t>$</w:t>
            </w:r>
          </w:p>
        </w:tc>
        <w:tc>
          <w:tcPr>
            <w:tcW w:w="1460" w:type="dxa"/>
            <w:vAlign w:val="bottom"/>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14,100</w:t>
            </w:r>
          </w:p>
        </w:tc>
      </w:tr>
      <w:tr>
        <w:trPr>
          <w:trHeight w:val="162"/>
        </w:trPr>
        <w:tc>
          <w:tcPr>
            <w:tcW w:w="7300" w:type="dxa"/>
            <w:vAlign w:val="bottom"/>
          </w:tcPr>
          <w:p>
            <w:pPr>
              <w:spacing w:after="0" w:line="162" w:lineRule="exact"/>
              <w:rPr>
                <w:sz w:val="20"/>
                <w:szCs w:val="20"/>
                <w:color w:val="auto"/>
              </w:rPr>
            </w:pPr>
            <w:r>
              <w:rPr>
                <w:rFonts w:ascii="Arial" w:cs="Arial" w:eastAsia="Arial" w:hAnsi="Arial"/>
                <w:sz w:val="15"/>
                <w:szCs w:val="15"/>
                <w:color w:val="auto"/>
              </w:rPr>
              <w:t>Trade names</w:t>
            </w:r>
          </w:p>
        </w:tc>
        <w:tc>
          <w:tcPr>
            <w:tcW w:w="1380" w:type="dxa"/>
            <w:vAlign w:val="bottom"/>
          </w:tcPr>
          <w:p>
            <w:pPr>
              <w:jc w:val="right"/>
              <w:spacing w:after="0" w:line="162" w:lineRule="exact"/>
              <w:rPr>
                <w:sz w:val="20"/>
                <w:szCs w:val="20"/>
                <w:color w:val="auto"/>
              </w:rPr>
            </w:pPr>
            <w:r>
              <w:rPr>
                <w:rFonts w:ascii="Arial" w:cs="Arial" w:eastAsia="Arial" w:hAnsi="Arial"/>
                <w:sz w:val="15"/>
                <w:szCs w:val="15"/>
                <w:color w:val="auto"/>
              </w:rPr>
              <w:t>5.0</w:t>
            </w:r>
          </w:p>
        </w:tc>
        <w:tc>
          <w:tcPr>
            <w:tcW w:w="5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Years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2,100</w:t>
            </w:r>
          </w:p>
        </w:tc>
      </w:tr>
      <w:tr>
        <w:trPr>
          <w:trHeight w:val="162"/>
        </w:trPr>
        <w:tc>
          <w:tcPr>
            <w:tcW w:w="7300" w:type="dxa"/>
            <w:vAlign w:val="bottom"/>
            <w:tcBorders>
              <w:bottom w:val="single" w:sz="8" w:color="CCEDFF"/>
            </w:tcBorders>
            <w:shd w:val="clear" w:color="auto" w:fill="CCEDFF"/>
          </w:tcPr>
          <w:p>
            <w:pPr>
              <w:spacing w:after="0" w:line="162" w:lineRule="exact"/>
              <w:rPr>
                <w:sz w:val="20"/>
                <w:szCs w:val="20"/>
                <w:color w:val="auto"/>
              </w:rPr>
            </w:pPr>
            <w:r>
              <w:rPr>
                <w:rFonts w:ascii="Arial" w:cs="Arial" w:eastAsia="Arial" w:hAnsi="Arial"/>
                <w:sz w:val="15"/>
                <w:szCs w:val="15"/>
                <w:color w:val="auto"/>
              </w:rPr>
              <w:t>Technology, patents, and other</w:t>
            </w:r>
          </w:p>
        </w:tc>
        <w:tc>
          <w:tcPr>
            <w:tcW w:w="1380" w:type="dxa"/>
            <w:vAlign w:val="bottom"/>
            <w:tcBorders>
              <w:bottom w:val="single" w:sz="8" w:color="auto"/>
            </w:tcBorders>
            <w:shd w:val="clear" w:color="auto" w:fill="CCEDFF"/>
          </w:tcPr>
          <w:p>
            <w:pPr>
              <w:jc w:val="right"/>
              <w:spacing w:after="0" w:line="162" w:lineRule="exact"/>
              <w:rPr>
                <w:sz w:val="20"/>
                <w:szCs w:val="20"/>
                <w:color w:val="auto"/>
              </w:rPr>
            </w:pPr>
            <w:r>
              <w:rPr>
                <w:rFonts w:ascii="Arial" w:cs="Arial" w:eastAsia="Arial" w:hAnsi="Arial"/>
                <w:sz w:val="15"/>
                <w:szCs w:val="15"/>
                <w:color w:val="auto"/>
              </w:rPr>
              <w:t>10.0</w:t>
            </w:r>
          </w:p>
        </w:tc>
        <w:tc>
          <w:tcPr>
            <w:tcW w:w="54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Years</w:t>
            </w:r>
          </w:p>
        </w:tc>
        <w:tc>
          <w:tcPr>
            <w:tcW w:w="180" w:type="dxa"/>
            <w:vAlign w:val="bottom"/>
            <w:tcBorders>
              <w:bottom w:val="single" w:sz="8" w:color="CCEDFF"/>
            </w:tcBorders>
            <w:shd w:val="clear" w:color="auto" w:fill="CCEDFF"/>
          </w:tcPr>
          <w:p>
            <w:pPr>
              <w:spacing w:after="0"/>
              <w:rPr>
                <w:sz w:val="14"/>
                <w:szCs w:val="14"/>
                <w:color w:val="auto"/>
              </w:rPr>
            </w:pPr>
          </w:p>
        </w:tc>
        <w:tc>
          <w:tcPr>
            <w:tcW w:w="380" w:type="dxa"/>
            <w:vAlign w:val="bottom"/>
            <w:tcBorders>
              <w:bottom w:val="single" w:sz="8" w:color="auto"/>
            </w:tcBorders>
            <w:shd w:val="clear" w:color="auto" w:fill="CCEDFF"/>
          </w:tcPr>
          <w:p>
            <w:pPr>
              <w:spacing w:after="0"/>
              <w:rPr>
                <w:sz w:val="14"/>
                <w:szCs w:val="14"/>
                <w:color w:val="auto"/>
              </w:rPr>
            </w:pPr>
          </w:p>
        </w:tc>
        <w:tc>
          <w:tcPr>
            <w:tcW w:w="146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7,600</w:t>
            </w:r>
          </w:p>
        </w:tc>
      </w:tr>
      <w:tr>
        <w:trPr>
          <w:trHeight w:val="155"/>
        </w:trPr>
        <w:tc>
          <w:tcPr>
            <w:tcW w:w="7300" w:type="dxa"/>
            <w:vAlign w:val="bottom"/>
          </w:tcPr>
          <w:p>
            <w:pPr>
              <w:spacing w:after="0" w:line="156" w:lineRule="exact"/>
              <w:rPr>
                <w:sz w:val="20"/>
                <w:szCs w:val="20"/>
                <w:color w:val="auto"/>
              </w:rPr>
            </w:pPr>
            <w:r>
              <w:rPr>
                <w:rFonts w:ascii="Arial" w:cs="Arial" w:eastAsia="Arial" w:hAnsi="Arial"/>
                <w:sz w:val="15"/>
                <w:szCs w:val="15"/>
                <w:b w:val="1"/>
                <w:bCs w:val="1"/>
                <w:color w:val="auto"/>
              </w:rPr>
              <w:t>Total intangibles acquired</w:t>
            </w:r>
          </w:p>
        </w:tc>
        <w:tc>
          <w:tcPr>
            <w:tcW w:w="1920" w:type="dxa"/>
            <w:vAlign w:val="bottom"/>
            <w:gridSpan w:val="2"/>
          </w:tcPr>
          <w:p>
            <w:pPr>
              <w:jc w:val="right"/>
              <w:ind w:right="44"/>
              <w:spacing w:after="0" w:line="156" w:lineRule="exact"/>
              <w:rPr>
                <w:sz w:val="20"/>
                <w:szCs w:val="20"/>
                <w:color w:val="auto"/>
              </w:rPr>
            </w:pPr>
            <w:r>
              <w:rPr>
                <w:rFonts w:ascii="Arial" w:cs="Arial" w:eastAsia="Arial" w:hAnsi="Arial"/>
                <w:sz w:val="15"/>
                <w:szCs w:val="15"/>
                <w:b w:val="1"/>
                <w:bCs w:val="1"/>
                <w:color w:val="auto"/>
              </w:rPr>
              <w:t>9.6 Years</w:t>
            </w:r>
          </w:p>
        </w:tc>
        <w:tc>
          <w:tcPr>
            <w:tcW w:w="180" w:type="dxa"/>
            <w:vAlign w:val="bottom"/>
          </w:tcPr>
          <w:p>
            <w:pPr>
              <w:spacing w:after="0"/>
              <w:rPr>
                <w:sz w:val="13"/>
                <w:szCs w:val="13"/>
                <w:color w:val="auto"/>
              </w:rPr>
            </w:pPr>
          </w:p>
        </w:tc>
        <w:tc>
          <w:tcPr>
            <w:tcW w:w="380" w:type="dxa"/>
            <w:vAlign w:val="bottom"/>
            <w:tcBorders>
              <w:bottom w:val="single" w:sz="8" w:color="auto"/>
            </w:tcBorders>
          </w:tcPr>
          <w:p>
            <w:pPr>
              <w:jc w:val="right"/>
              <w:ind w:right="224"/>
              <w:spacing w:after="0" w:line="142" w:lineRule="exact"/>
              <w:rPr>
                <w:sz w:val="20"/>
                <w:szCs w:val="20"/>
                <w:color w:val="auto"/>
              </w:rPr>
            </w:pPr>
            <w:r>
              <w:rPr>
                <w:rFonts w:ascii="Arial" w:cs="Arial" w:eastAsia="Arial" w:hAnsi="Arial"/>
                <w:sz w:val="15"/>
                <w:szCs w:val="15"/>
                <w:b w:val="1"/>
                <w:bCs w:val="1"/>
                <w:color w:val="auto"/>
                <w:w w:val="71"/>
              </w:rPr>
              <w:t>$</w:t>
            </w:r>
          </w:p>
        </w:tc>
        <w:tc>
          <w:tcPr>
            <w:tcW w:w="1460" w:type="dxa"/>
            <w:vAlign w:val="bottom"/>
            <w:tcBorders>
              <w:bottom w:val="single" w:sz="8" w:color="auto"/>
            </w:tcBorders>
          </w:tcPr>
          <w:p>
            <w:pPr>
              <w:jc w:val="right"/>
              <w:ind w:right="44"/>
              <w:spacing w:after="0" w:line="142" w:lineRule="exact"/>
              <w:rPr>
                <w:sz w:val="20"/>
                <w:szCs w:val="20"/>
                <w:color w:val="auto"/>
              </w:rPr>
            </w:pPr>
            <w:r>
              <w:rPr>
                <w:rFonts w:ascii="Arial" w:cs="Arial" w:eastAsia="Arial" w:hAnsi="Arial"/>
                <w:sz w:val="15"/>
                <w:szCs w:val="15"/>
                <w:b w:val="1"/>
                <w:bCs w:val="1"/>
                <w:color w:val="auto"/>
              </w:rPr>
              <w:t>23,800</w:t>
            </w:r>
          </w:p>
        </w:tc>
      </w:tr>
      <w:tr>
        <w:trPr>
          <w:trHeight w:val="20"/>
        </w:trPr>
        <w:tc>
          <w:tcPr>
            <w:tcW w:w="7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-136525</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0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fair values of identifiable intangible assets were prepared using an income valuation approach, which requires a forecast of expected future cash flows either using the relief-from royalty method or the multi-period excess earnings method, which are discounted to approximate their current value. The assumptions used to derive these values include significant judgments relating to baseline revenue and revenue growth rates, EBITDA margins, contributory asset charges, customer attrition rate, and discount rate. The estimated useful lives are based on our historical experience and expectations as to the duration of time that benefits from these assets are expected to be realized.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REVENUE</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Revenue is recognized as, or when, the performance obligations are satisfied. We generate revenue primarily from three revenue streams: (i) product revenues, (ii) service revenues, and (iii) rental revenues. We sell or rent our products and provide services primarily in onshore U.S. and Canadian (“NAM”) markets and in international and offshore </w:t>
      </w:r>
      <w:r>
        <w:rPr>
          <w:rFonts w:ascii="Arial" w:cs="Arial" w:eastAsia="Arial" w:hAnsi="Arial"/>
          <w:sz w:val="17"/>
          <w:szCs w:val="17"/>
          <w:color w:val="231F20"/>
        </w:rPr>
        <w:t>(“International and Offshore”)</w:t>
      </w:r>
      <w:r>
        <w:rPr>
          <w:rFonts w:ascii="Arial" w:cs="Arial" w:eastAsia="Arial" w:hAnsi="Arial"/>
          <w:sz w:val="17"/>
          <w:szCs w:val="17"/>
          <w:color w:val="auto"/>
        </w:rPr>
        <w:t xml:space="preserve"> markets. We attribute rental and service revenue to the country in which the rental or service was performed, while we attribute product sales revenue to the country to which the product was shipped. We have elected the practical expedient to expense commissions as the amortization period associated with the asset that would have been recognized for each order is one year or less. Rental revenue as presented in the table below is accounted for under the lease guidance according to </w:t>
      </w:r>
      <w:r>
        <w:rPr>
          <w:rFonts w:ascii="Arial" w:cs="Arial" w:eastAsia="Arial" w:hAnsi="Arial"/>
          <w:sz w:val="17"/>
          <w:szCs w:val="17"/>
          <w:i w:val="1"/>
          <w:iCs w:val="1"/>
          <w:color w:val="auto"/>
        </w:rPr>
        <w:t xml:space="preserve">Accounting Standards Codification Topic 842, Leases (“ASC 842”) </w:t>
      </w:r>
      <w:r>
        <w:rPr>
          <w:rFonts w:ascii="Arial" w:cs="Arial" w:eastAsia="Arial" w:hAnsi="Arial"/>
          <w:sz w:val="17"/>
          <w:szCs w:val="17"/>
          <w:color w:val="auto"/>
        </w:rPr>
        <w:t>and recognized ratably over the term of the lease.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1" w:name="page12"/>
    <w:bookmarkEnd w:id="11"/>
    <w:p>
      <w:pPr>
        <w:jc w:val="both"/>
        <w:spacing w:after="0" w:line="244" w:lineRule="auto"/>
        <w:rPr>
          <w:sz w:val="20"/>
          <w:szCs w:val="20"/>
          <w:color w:val="auto"/>
        </w:rPr>
      </w:pPr>
      <w:r>
        <w:rPr>
          <w:rFonts w:ascii="Arial" w:cs="Arial" w:eastAsia="Arial" w:hAnsi="Arial"/>
          <w:sz w:val="17"/>
          <w:szCs w:val="17"/>
          <w:color w:val="auto"/>
        </w:rPr>
        <w:t>From time to time, we may enter into contracts that contain multiple performance obligations, such as work orders containing a combination of product sales, equipment rentals, and contract labor services. For these arrangements, we allocate the transaction price to each performance obligation identified in the contract based on relative standalone selling prices and recognize the related revenue as control of each individual product or service is transferred to the customer, in satisfaction of the corresponding performance obligations.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our revenues disaggregated by category and by geography: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7"/>
          </w:tcPr>
          <w:p>
            <w:pPr>
              <w:jc w:val="center"/>
              <w:ind w:right="299"/>
              <w:spacing w:after="0"/>
              <w:rPr>
                <w:sz w:val="20"/>
                <w:szCs w:val="20"/>
                <w:color w:val="auto"/>
              </w:rPr>
            </w:pPr>
            <w:r>
              <w:rPr>
                <w:rFonts w:ascii="Arial" w:cs="Arial" w:eastAsia="Arial" w:hAnsi="Arial"/>
                <w:sz w:val="16"/>
                <w:szCs w:val="16"/>
                <w:b w:val="1"/>
                <w:bCs w:val="1"/>
                <w:color w:val="auto"/>
              </w:rPr>
              <w:t>Three Months Ended March 31, 2026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gridSpan w:val="7"/>
          </w:tcPr>
          <w:p>
            <w:pPr>
              <w:jc w:val="center"/>
              <w:ind w:right="299"/>
              <w:spacing w:after="0"/>
              <w:rPr>
                <w:sz w:val="20"/>
                <w:szCs w:val="20"/>
                <w:color w:val="auto"/>
              </w:rPr>
            </w:pPr>
            <w:r>
              <w:rPr>
                <w:rFonts w:ascii="Arial" w:cs="Arial" w:eastAsia="Arial" w:hAnsi="Arial"/>
                <w:sz w:val="16"/>
                <w:szCs w:val="16"/>
                <w:b w:val="1"/>
                <w:bCs w:val="1"/>
                <w:color w:val="auto"/>
              </w:rPr>
              <w:t>Three Months Ended March 31, 2025</w:t>
            </w:r>
          </w:p>
        </w:tc>
      </w:tr>
      <w:tr>
        <w:trPr>
          <w:trHeight w:val="168"/>
        </w:trPr>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219"/>
              <w:spacing w:after="0" w:line="168" w:lineRule="exact"/>
              <w:rPr>
                <w:sz w:val="20"/>
                <w:szCs w:val="20"/>
                <w:color w:val="auto"/>
              </w:rPr>
            </w:pPr>
            <w:r>
              <w:rPr>
                <w:rFonts w:ascii="Arial" w:cs="Arial" w:eastAsia="Arial" w:hAnsi="Arial"/>
                <w:sz w:val="16"/>
                <w:szCs w:val="16"/>
                <w:b w:val="1"/>
                <w:bCs w:val="1"/>
                <w:color w:val="auto"/>
              </w:rPr>
              <w:t>INTL &amp;</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219"/>
              <w:spacing w:after="0" w:line="168" w:lineRule="exact"/>
              <w:rPr>
                <w:sz w:val="20"/>
                <w:szCs w:val="20"/>
                <w:color w:val="auto"/>
              </w:rPr>
            </w:pPr>
            <w:r>
              <w:rPr>
                <w:rFonts w:ascii="Arial" w:cs="Arial" w:eastAsia="Arial" w:hAnsi="Arial"/>
                <w:sz w:val="16"/>
                <w:szCs w:val="16"/>
                <w:b w:val="1"/>
                <w:bCs w:val="1"/>
                <w:color w:val="auto"/>
              </w:rPr>
              <w:t>INTL &amp;</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22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NAM</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Offshore</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NAM</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Offshore</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183"/>
        </w:trPr>
        <w:tc>
          <w:tcPr>
            <w:tcW w:w="226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Product revenues</w:t>
            </w:r>
          </w:p>
        </w:tc>
        <w:tc>
          <w:tcPr>
            <w:tcW w:w="28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89,522</w:t>
            </w:r>
          </w:p>
        </w:tc>
        <w:tc>
          <w:tcPr>
            <w:tcW w:w="320" w:type="dxa"/>
            <w:vAlign w:val="bottom"/>
            <w:gridSpan w:val="2"/>
            <w:shd w:val="clear" w:color="auto" w:fill="CCED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73,373</w:t>
            </w:r>
          </w:p>
        </w:tc>
        <w:tc>
          <w:tcPr>
            <w:tcW w:w="380" w:type="dxa"/>
            <w:vAlign w:val="bottom"/>
            <w:gridSpan w:val="2"/>
            <w:shd w:val="clear" w:color="auto" w:fill="CCED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162,895</w:t>
            </w:r>
          </w:p>
        </w:tc>
        <w:tc>
          <w:tcPr>
            <w:tcW w:w="420" w:type="dxa"/>
            <w:vAlign w:val="bottom"/>
            <w:gridSpan w:val="2"/>
            <w:shd w:val="clear" w:color="auto" w:fill="CCED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75,255</w:t>
            </w:r>
          </w:p>
        </w:tc>
        <w:tc>
          <w:tcPr>
            <w:tcW w:w="320" w:type="dxa"/>
            <w:vAlign w:val="bottom"/>
            <w:gridSpan w:val="2"/>
            <w:shd w:val="clear" w:color="auto" w:fill="CCED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92,095</w:t>
            </w:r>
          </w:p>
        </w:tc>
        <w:tc>
          <w:tcPr>
            <w:tcW w:w="420" w:type="dxa"/>
            <w:vAlign w:val="bottom"/>
            <w:gridSpan w:val="2"/>
            <w:shd w:val="clear" w:color="auto" w:fill="CCED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167,350</w:t>
            </w:r>
          </w:p>
        </w:tc>
      </w:tr>
      <w:tr>
        <w:trPr>
          <w:trHeight w:val="189"/>
        </w:trPr>
        <w:tc>
          <w:tcPr>
            <w:tcW w:w="2260" w:type="dxa"/>
            <w:vAlign w:val="bottom"/>
          </w:tcPr>
          <w:p>
            <w:pPr>
              <w:spacing w:after="0"/>
              <w:rPr>
                <w:sz w:val="20"/>
                <w:szCs w:val="20"/>
                <w:color w:val="auto"/>
              </w:rPr>
            </w:pPr>
            <w:r>
              <w:rPr>
                <w:rFonts w:ascii="Arial" w:cs="Arial" w:eastAsia="Arial" w:hAnsi="Arial"/>
                <w:sz w:val="16"/>
                <w:szCs w:val="16"/>
                <w:color w:val="auto"/>
              </w:rPr>
              <w:t>Service revenues</w:t>
            </w:r>
          </w:p>
        </w:tc>
        <w:tc>
          <w:tcPr>
            <w:tcW w:w="2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14,121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31,141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16,749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18,312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35,061</w:t>
            </w:r>
          </w:p>
        </w:tc>
      </w:tr>
      <w:tr>
        <w:trPr>
          <w:trHeight w:val="189"/>
        </w:trPr>
        <w:tc>
          <w:tcPr>
            <w:tcW w:w="226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Rental revenues</w:t>
            </w:r>
          </w:p>
        </w:tc>
        <w:tc>
          <w:tcPr>
            <w:tcW w:w="280" w:type="dxa"/>
            <w:vAlign w:val="bottom"/>
            <w:tcBorders>
              <w:bottom w:val="single" w:sz="8" w:color="auto"/>
            </w:tcBorders>
            <w:shd w:val="clear" w:color="auto" w:fill="CCEDFF"/>
          </w:tcPr>
          <w:p>
            <w:pPr>
              <w:spacing w:after="0"/>
              <w:rPr>
                <w:sz w:val="16"/>
                <w:szCs w:val="16"/>
                <w:color w:val="auto"/>
              </w:rPr>
            </w:pPr>
          </w:p>
        </w:tc>
        <w:tc>
          <w:tcPr>
            <w:tcW w:w="1100" w:type="dxa"/>
            <w:vAlign w:val="bottom"/>
            <w:tcBorders>
              <w:bottom w:val="single" w:sz="8" w:color="auto"/>
            </w:tcBorders>
            <w:shd w:val="clear" w:color="auto" w:fill="CCEDFF"/>
          </w:tcPr>
          <w:p>
            <w:pPr>
              <w:jc w:val="right"/>
              <w:ind w:right="19"/>
              <w:spacing w:after="0"/>
              <w:rPr>
                <w:sz w:val="20"/>
                <w:szCs w:val="20"/>
                <w:color w:val="auto"/>
              </w:rPr>
            </w:pPr>
            <w:r>
              <w:rPr>
                <w:rFonts w:ascii="Arial" w:cs="Arial" w:eastAsia="Arial" w:hAnsi="Arial"/>
                <w:sz w:val="16"/>
                <w:szCs w:val="16"/>
                <w:color w:val="auto"/>
              </w:rPr>
              <w:t>30,164</w:t>
            </w:r>
          </w:p>
        </w:tc>
        <w:tc>
          <w:tcPr>
            <w:tcW w:w="120" w:type="dxa"/>
            <w:vAlign w:val="bottom"/>
            <w:tcBorders>
              <w:bottom w:val="single" w:sz="8" w:color="CCEDFF"/>
            </w:tcBorders>
            <w:shd w:val="clear" w:color="auto" w:fill="CCEDFF"/>
          </w:tcPr>
          <w:p>
            <w:pPr>
              <w:spacing w:after="0"/>
              <w:rPr>
                <w:sz w:val="16"/>
                <w:szCs w:val="16"/>
                <w:color w:val="auto"/>
              </w:rPr>
            </w:pPr>
          </w:p>
        </w:tc>
        <w:tc>
          <w:tcPr>
            <w:tcW w:w="200" w:type="dxa"/>
            <w:vAlign w:val="bottom"/>
            <w:tcBorders>
              <w:bottom w:val="single" w:sz="8" w:color="auto"/>
            </w:tcBorders>
            <w:shd w:val="clear" w:color="auto" w:fill="CCEDFF"/>
          </w:tcPr>
          <w:p>
            <w:pPr>
              <w:spacing w:after="0"/>
              <w:rPr>
                <w:sz w:val="16"/>
                <w:szCs w:val="16"/>
                <w:color w:val="auto"/>
              </w:rPr>
            </w:pPr>
          </w:p>
        </w:tc>
        <w:tc>
          <w:tcPr>
            <w:tcW w:w="1180" w:type="dxa"/>
            <w:vAlign w:val="bottom"/>
            <w:tcBorders>
              <w:bottom w:val="single" w:sz="8" w:color="auto"/>
            </w:tcBorders>
            <w:shd w:val="clear" w:color="auto" w:fill="CCEDFF"/>
          </w:tcPr>
          <w:p>
            <w:pPr>
              <w:jc w:val="right"/>
              <w:ind w:right="19"/>
              <w:spacing w:after="0"/>
              <w:rPr>
                <w:sz w:val="20"/>
                <w:szCs w:val="20"/>
                <w:color w:val="auto"/>
              </w:rPr>
            </w:pPr>
            <w:r>
              <w:rPr>
                <w:rFonts w:ascii="Arial" w:cs="Arial" w:eastAsia="Arial" w:hAnsi="Arial"/>
                <w:sz w:val="16"/>
                <w:szCs w:val="16"/>
                <w:color w:val="auto"/>
              </w:rPr>
              <w:t>14,831</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1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44,995</w:t>
            </w:r>
          </w:p>
        </w:tc>
        <w:tc>
          <w:tcPr>
            <w:tcW w:w="140" w:type="dxa"/>
            <w:vAlign w:val="bottom"/>
            <w:tcBorders>
              <w:bottom w:val="single" w:sz="8" w:color="CCEDFF"/>
            </w:tcBorders>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1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28,513</w:t>
            </w:r>
          </w:p>
        </w:tc>
        <w:tc>
          <w:tcPr>
            <w:tcW w:w="120" w:type="dxa"/>
            <w:vAlign w:val="bottom"/>
            <w:tcBorders>
              <w:bottom w:val="single" w:sz="8" w:color="CCEDFF"/>
            </w:tcBorders>
            <w:shd w:val="clear" w:color="auto" w:fill="CCEDFF"/>
          </w:tcPr>
          <w:p>
            <w:pPr>
              <w:spacing w:after="0"/>
              <w:rPr>
                <w:sz w:val="16"/>
                <w:szCs w:val="16"/>
                <w:color w:val="auto"/>
              </w:rPr>
            </w:pPr>
          </w:p>
        </w:tc>
        <w:tc>
          <w:tcPr>
            <w:tcW w:w="200" w:type="dxa"/>
            <w:vAlign w:val="bottom"/>
            <w:tcBorders>
              <w:bottom w:val="single" w:sz="8" w:color="auto"/>
            </w:tcBorders>
            <w:shd w:val="clear" w:color="auto" w:fill="CCEDFF"/>
          </w:tcPr>
          <w:p>
            <w:pPr>
              <w:spacing w:after="0"/>
              <w:rPr>
                <w:sz w:val="16"/>
                <w:szCs w:val="16"/>
                <w:color w:val="auto"/>
              </w:rPr>
            </w:pPr>
          </w:p>
        </w:tc>
        <w:tc>
          <w:tcPr>
            <w:tcW w:w="1180" w:type="dxa"/>
            <w:vAlign w:val="bottom"/>
            <w:tcBorders>
              <w:bottom w:val="single" w:sz="8" w:color="auto"/>
            </w:tcBorders>
            <w:shd w:val="clear" w:color="auto" w:fill="CCEDFF"/>
          </w:tcPr>
          <w:p>
            <w:pPr>
              <w:jc w:val="right"/>
              <w:ind w:right="19"/>
              <w:spacing w:after="0"/>
              <w:rPr>
                <w:sz w:val="20"/>
                <w:szCs w:val="20"/>
                <w:color w:val="auto"/>
              </w:rPr>
            </w:pPr>
            <w:r>
              <w:rPr>
                <w:rFonts w:ascii="Arial" w:cs="Arial" w:eastAsia="Arial" w:hAnsi="Arial"/>
                <w:sz w:val="16"/>
                <w:szCs w:val="16"/>
                <w:color w:val="auto"/>
              </w:rPr>
              <w:t>9,491</w:t>
            </w:r>
          </w:p>
        </w:tc>
        <w:tc>
          <w:tcPr>
            <w:tcW w:w="16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140" w:type="dxa"/>
            <w:vAlign w:val="bottom"/>
            <w:tcBorders>
              <w:bottom w:val="single" w:sz="8" w:color="auto"/>
            </w:tcBorders>
            <w:shd w:val="clear" w:color="auto" w:fill="CCEDFF"/>
          </w:tcPr>
          <w:p>
            <w:pPr>
              <w:jc w:val="right"/>
              <w:ind w:right="19"/>
              <w:spacing w:after="0"/>
              <w:rPr>
                <w:sz w:val="20"/>
                <w:szCs w:val="20"/>
                <w:color w:val="auto"/>
              </w:rPr>
            </w:pPr>
            <w:r>
              <w:rPr>
                <w:rFonts w:ascii="Arial" w:cs="Arial" w:eastAsia="Arial" w:hAnsi="Arial"/>
                <w:sz w:val="16"/>
                <w:szCs w:val="16"/>
                <w:color w:val="auto"/>
              </w:rPr>
              <w:t>38,004</w:t>
            </w:r>
          </w:p>
        </w:tc>
      </w:tr>
      <w:tr>
        <w:trPr>
          <w:trHeight w:val="183"/>
        </w:trPr>
        <w:tc>
          <w:tcPr>
            <w:tcW w:w="226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136,706</w:t>
            </w:r>
          </w:p>
        </w:tc>
        <w:tc>
          <w:tcPr>
            <w:tcW w:w="3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102,325</w:t>
            </w:r>
          </w:p>
        </w:tc>
        <w:tc>
          <w:tcPr>
            <w:tcW w:w="3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239,031</w:t>
            </w:r>
          </w:p>
        </w:tc>
        <w:tc>
          <w:tcPr>
            <w:tcW w:w="42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120,517</w:t>
            </w:r>
          </w:p>
        </w:tc>
        <w:tc>
          <w:tcPr>
            <w:tcW w:w="32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119,898</w:t>
            </w:r>
          </w:p>
        </w:tc>
        <w:tc>
          <w:tcPr>
            <w:tcW w:w="42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240,415</w:t>
            </w:r>
          </w:p>
        </w:tc>
      </w:tr>
      <w:tr>
        <w:trPr>
          <w:trHeight w:val="20"/>
        </w:trPr>
        <w:tc>
          <w:tcPr>
            <w:tcW w:w="2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-153670</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-153670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-153670</wp:posOffset>
            </wp:positionV>
            <wp:extent cx="946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-153670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-153670</wp:posOffset>
            </wp:positionV>
            <wp:extent cx="946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06"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Trade receivables are stated at the historical carrying amount net of allowances for credit losses. These receivables are generally uncollateralized, and accounts outstanding longer than the payment terms are considered past due.</w:t>
      </w:r>
    </w:p>
    <w:p>
      <w:pPr>
        <w:spacing w:after="0" w:line="7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evaluate our global trade receivable through a continuous process of assessing our portfolio on an individual customer and overall basis. This process consists of a thorough review of historical collection experience, current aging status of the customer accounts and financial condition of our customers. Based on our review of these factors, we establish or adjust allowances for specific customers. Past due balances are written-off against allowance for credit losses when the accounts are deemed no longer to be collectible. This process involves judgment and estimation; therefore, our results of operations could be affected by adjustments to the allowance due to actual write-offs that differ from estimated amounts.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allowance for credit losses during the three months ended March 31, 2026 and 2025 were as follows: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8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March 31,</w:t>
            </w: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20" w:type="dxa"/>
            <w:vAlign w:val="bottom"/>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39"/>
              <w:spacing w:after="0" w:line="183" w:lineRule="exact"/>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3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Balance at January 1</w:t>
            </w:r>
          </w:p>
        </w:tc>
        <w:tc>
          <w:tcPr>
            <w:tcW w:w="440" w:type="dxa"/>
            <w:vAlign w:val="bottom"/>
            <w:shd w:val="clear" w:color="auto" w:fill="CCEDFF"/>
          </w:tcPr>
          <w:p>
            <w:pPr>
              <w:jc w:val="right"/>
              <w:ind w:right="284"/>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19,752</w:t>
            </w:r>
          </w:p>
        </w:tc>
        <w:tc>
          <w:tcPr>
            <w:tcW w:w="680" w:type="dxa"/>
            <w:vAlign w:val="bottom"/>
            <w:gridSpan w:val="2"/>
            <w:shd w:val="clear" w:color="auto" w:fill="CCEDFF"/>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63,875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tcPr>
          <w:p>
            <w:pPr>
              <w:ind w:left="40"/>
              <w:spacing w:after="0"/>
              <w:rPr>
                <w:sz w:val="20"/>
                <w:szCs w:val="20"/>
                <w:color w:val="auto"/>
              </w:rPr>
            </w:pPr>
            <w:r>
              <w:rPr>
                <w:rFonts w:ascii="Arial" w:cs="Arial" w:eastAsia="Arial" w:hAnsi="Arial"/>
                <w:sz w:val="16"/>
                <w:szCs w:val="16"/>
                <w:color w:val="auto"/>
              </w:rPr>
              <w:t>Provision for (recovery of) credit losses</w:t>
            </w:r>
          </w:p>
        </w:tc>
        <w:tc>
          <w:tcPr>
            <w:tcW w:w="440" w:type="dxa"/>
            <w:vAlign w:val="bottom"/>
          </w:tcPr>
          <w:p>
            <w:pPr>
              <w:spacing w:after="0"/>
              <w:rPr>
                <w:sz w:val="16"/>
                <w:szCs w:val="16"/>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815</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tcBorders>
              <w:bottom w:val="single" w:sz="8" w:color="CCEDFF"/>
            </w:tcBorders>
            <w:shd w:val="clear" w:color="auto" w:fill="CCEDFF"/>
          </w:tcPr>
          <w:p>
            <w:pPr>
              <w:ind w:left="40"/>
              <w:spacing w:after="0"/>
              <w:rPr>
                <w:sz w:val="20"/>
                <w:szCs w:val="20"/>
                <w:color w:val="auto"/>
              </w:rPr>
            </w:pPr>
            <w:r>
              <w:rPr>
                <w:rFonts w:ascii="Arial" w:cs="Arial" w:eastAsia="Arial" w:hAnsi="Arial"/>
                <w:sz w:val="16"/>
                <w:szCs w:val="16"/>
                <w:color w:val="auto"/>
              </w:rPr>
              <w:t>Write-offs charged against allowance</w:t>
            </w:r>
          </w:p>
        </w:tc>
        <w:tc>
          <w:tcPr>
            <w:tcW w:w="440" w:type="dxa"/>
            <w:vAlign w:val="bottom"/>
            <w:tcBorders>
              <w:bottom w:val="single" w:sz="8" w:color="auto"/>
            </w:tcBorders>
            <w:shd w:val="clear" w:color="auto" w:fill="CCEDFF"/>
          </w:tcPr>
          <w:p>
            <w:pPr>
              <w:spacing w:after="0"/>
              <w:rPr>
                <w:sz w:val="16"/>
                <w:szCs w:val="16"/>
                <w:color w:val="auto"/>
              </w:rPr>
            </w:pPr>
          </w:p>
        </w:tc>
        <w:tc>
          <w:tcPr>
            <w:tcW w:w="16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(4,237)</w:t>
            </w:r>
          </w:p>
        </w:tc>
        <w:tc>
          <w:tcPr>
            <w:tcW w:w="180" w:type="dxa"/>
            <w:vAlign w:val="bottom"/>
            <w:tcBorders>
              <w:bottom w:val="single" w:sz="8" w:color="CCEDFF"/>
            </w:tcBorders>
            <w:shd w:val="clear" w:color="auto" w:fill="CCEDFF"/>
          </w:tcPr>
          <w:p>
            <w:pPr>
              <w:spacing w:after="0"/>
              <w:rPr>
                <w:sz w:val="16"/>
                <w:szCs w:val="16"/>
                <w:color w:val="auto"/>
              </w:rPr>
            </w:pPr>
          </w:p>
        </w:tc>
        <w:tc>
          <w:tcPr>
            <w:tcW w:w="500" w:type="dxa"/>
            <w:vAlign w:val="bottom"/>
            <w:tcBorders>
              <w:bottom w:val="single" w:sz="8" w:color="auto"/>
            </w:tcBorders>
            <w:shd w:val="clear" w:color="auto" w:fill="CCEDFF"/>
          </w:tcPr>
          <w:p>
            <w:pPr>
              <w:spacing w:after="0"/>
              <w:rPr>
                <w:sz w:val="16"/>
                <w:szCs w:val="16"/>
                <w:color w:val="auto"/>
              </w:rPr>
            </w:pPr>
          </w:p>
        </w:tc>
        <w:tc>
          <w:tcPr>
            <w:tcW w:w="15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(6,317)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Pr>
          <w:p>
            <w:pPr>
              <w:spacing w:after="0" w:line="183" w:lineRule="exact"/>
              <w:rPr>
                <w:sz w:val="20"/>
                <w:szCs w:val="20"/>
                <w:color w:val="auto"/>
              </w:rPr>
            </w:pPr>
            <w:r>
              <w:rPr>
                <w:rFonts w:ascii="Arial" w:cs="Arial" w:eastAsia="Arial" w:hAnsi="Arial"/>
                <w:sz w:val="16"/>
                <w:szCs w:val="16"/>
                <w:color w:val="auto"/>
              </w:rPr>
              <w:t>Balance at March 31</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16,330</w:t>
            </w:r>
          </w:p>
        </w:tc>
        <w:tc>
          <w:tcPr>
            <w:tcW w:w="680" w:type="dxa"/>
            <w:vAlign w:val="bottom"/>
            <w:gridSpan w:val="2"/>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57,632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-153670</wp:posOffset>
            </wp:positionV>
            <wp:extent cx="1200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Based upon the terms of the specific contract, billings may be in excess of the revenue recognized, in which case the amounts are included in contract liabilities as a liability in our Condensed Consolidated Balance Sheets. Likewise, revenue recognized may exceed customer billings, in which case the amounts are reported in contract assets.</w:t>
      </w:r>
    </w:p>
    <w:p>
      <w:pPr>
        <w:spacing w:after="0" w:line="10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Contract assets are recognized for revenue related to products accounted for using the over time method of accounting and are earned on completion of the performance obligation, for which consideration to be received is conditional on something other than the passage of time. The amounts recognized as contract assets are reclassified to trade receivables upon billing, as at that point, consideration is conditional only upon the passage of time. Contract liabilities represent our obligations to transfer goods or services to customers for which we have received consideration, in full or part, from the customer.</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Balances related to contracts with customers consisted of the following (in thousands):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8560" w:type="dxa"/>
            <w:vAlign w:val="bottom"/>
            <w:shd w:val="clear" w:color="auto" w:fill="CCEDFF"/>
          </w:tcPr>
          <w:p>
            <w:pPr>
              <w:spacing w:after="0"/>
              <w:rPr>
                <w:sz w:val="20"/>
                <w:szCs w:val="20"/>
                <w:color w:val="auto"/>
              </w:rPr>
            </w:pPr>
            <w:r>
              <w:rPr>
                <w:rFonts w:ascii="Arial" w:cs="Arial" w:eastAsia="Arial" w:hAnsi="Arial"/>
                <w:sz w:val="16"/>
                <w:szCs w:val="16"/>
                <w:color w:val="auto"/>
              </w:rPr>
              <w:t>Contract assets at December 31, 2025</w:t>
            </w:r>
          </w:p>
        </w:tc>
        <w:tc>
          <w:tcPr>
            <w:tcW w:w="740" w:type="dxa"/>
            <w:vAlign w:val="bottom"/>
            <w:shd w:val="clear" w:color="auto" w:fill="CCEDFF"/>
          </w:tcPr>
          <w:p>
            <w:pPr>
              <w:jc w:val="right"/>
              <w:ind w:right="5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DFF"/>
          </w:tcPr>
          <w:p>
            <w:pPr>
              <w:jc w:val="right"/>
              <w:ind w:right="19"/>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60" w:type="dxa"/>
            <w:vAlign w:val="bottom"/>
          </w:tcPr>
          <w:p>
            <w:pPr>
              <w:ind w:left="60"/>
              <w:spacing w:after="0"/>
              <w:rPr>
                <w:sz w:val="20"/>
                <w:szCs w:val="20"/>
                <w:color w:val="auto"/>
              </w:rPr>
            </w:pPr>
            <w:r>
              <w:rPr>
                <w:rFonts w:ascii="Arial" w:cs="Arial" w:eastAsia="Arial" w:hAnsi="Arial"/>
                <w:sz w:val="16"/>
                <w:szCs w:val="16"/>
                <w:color w:val="auto"/>
              </w:rPr>
              <w:t>Additions</w:t>
            </w:r>
          </w:p>
        </w:tc>
        <w:tc>
          <w:tcPr>
            <w:tcW w:w="74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60" w:type="dxa"/>
            <w:vAlign w:val="bottom"/>
            <w:tcBorders>
              <w:bottom w:val="single" w:sz="8" w:color="CCEDFF"/>
            </w:tcBorders>
            <w:shd w:val="clear" w:color="auto" w:fill="CCEDFF"/>
          </w:tcPr>
          <w:p>
            <w:pPr>
              <w:ind w:left="60"/>
              <w:spacing w:after="0"/>
              <w:rPr>
                <w:sz w:val="20"/>
                <w:szCs w:val="20"/>
                <w:color w:val="auto"/>
              </w:rPr>
            </w:pPr>
            <w:r>
              <w:rPr>
                <w:rFonts w:ascii="Arial" w:cs="Arial" w:eastAsia="Arial" w:hAnsi="Arial"/>
                <w:sz w:val="16"/>
                <w:szCs w:val="16"/>
                <w:color w:val="auto"/>
              </w:rPr>
              <w:t>Transfers to Trade receivables, net</w:t>
            </w:r>
          </w:p>
        </w:tc>
        <w:tc>
          <w:tcPr>
            <w:tcW w:w="74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560" w:type="dxa"/>
            <w:vAlign w:val="bottom"/>
          </w:tcPr>
          <w:p>
            <w:pPr>
              <w:spacing w:after="0" w:line="183" w:lineRule="exact"/>
              <w:rPr>
                <w:sz w:val="20"/>
                <w:szCs w:val="20"/>
                <w:color w:val="auto"/>
              </w:rPr>
            </w:pPr>
            <w:r>
              <w:rPr>
                <w:rFonts w:ascii="Arial" w:cs="Arial" w:eastAsia="Arial" w:hAnsi="Arial"/>
                <w:sz w:val="16"/>
                <w:szCs w:val="16"/>
                <w:color w:val="auto"/>
              </w:rPr>
              <w:t>Contract assets at March 31, 2026</w:t>
            </w:r>
          </w:p>
        </w:tc>
        <w:tc>
          <w:tcPr>
            <w:tcW w:w="74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Contract liabilities</w:t>
            </w: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11"/>
                <w:szCs w:val="11"/>
                <w:color w:val="auto"/>
              </w:rPr>
            </w:pPr>
          </w:p>
        </w:tc>
        <w:tc>
          <w:tcPr>
            <w:tcW w:w="8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0" w:type="dxa"/>
            <w:vAlign w:val="bottom"/>
            <w:vMerge w:val="continue"/>
          </w:tcPr>
          <w:p>
            <w:pPr>
              <w:spacing w:after="0"/>
              <w:rPr>
                <w:sz w:val="16"/>
                <w:szCs w:val="16"/>
                <w:color w:val="auto"/>
              </w:rPr>
            </w:pPr>
          </w:p>
        </w:tc>
        <w:tc>
          <w:tcPr>
            <w:tcW w:w="8560" w:type="dxa"/>
            <w:vAlign w:val="bottom"/>
            <w:shd w:val="clear" w:color="auto" w:fill="CCEDFF"/>
          </w:tcPr>
          <w:p>
            <w:pPr>
              <w:spacing w:after="0"/>
              <w:rPr>
                <w:sz w:val="20"/>
                <w:szCs w:val="20"/>
                <w:color w:val="auto"/>
              </w:rPr>
            </w:pPr>
            <w:r>
              <w:rPr>
                <w:rFonts w:ascii="Arial" w:cs="Arial" w:eastAsia="Arial" w:hAnsi="Arial"/>
                <w:sz w:val="16"/>
                <w:szCs w:val="16"/>
                <w:color w:val="auto"/>
              </w:rPr>
              <w:t>Contract liabilities at December 31, 2025</w:t>
            </w:r>
          </w:p>
        </w:tc>
        <w:tc>
          <w:tcPr>
            <w:tcW w:w="740" w:type="dxa"/>
            <w:vAlign w:val="bottom"/>
            <w:shd w:val="clear" w:color="auto" w:fill="CCEDFF"/>
          </w:tcPr>
          <w:p>
            <w:pPr>
              <w:jc w:val="right"/>
              <w:ind w:right="5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DFF"/>
          </w:tcPr>
          <w:p>
            <w:pPr>
              <w:jc w:val="right"/>
              <w:ind w:right="19"/>
              <w:spacing w:after="0"/>
              <w:rPr>
                <w:sz w:val="20"/>
                <w:szCs w:val="20"/>
                <w:color w:val="auto"/>
              </w:rPr>
            </w:pPr>
            <w:r>
              <w:rPr>
                <w:rFonts w:ascii="Arial" w:cs="Arial" w:eastAsia="Arial" w:hAnsi="Arial"/>
                <w:sz w:val="16"/>
                <w:szCs w:val="16"/>
                <w:color w:val="auto"/>
              </w:rPr>
              <w:t>11,986</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60" w:type="dxa"/>
            <w:vAlign w:val="bottom"/>
          </w:tcPr>
          <w:p>
            <w:pPr>
              <w:ind w:left="60"/>
              <w:spacing w:after="0"/>
              <w:rPr>
                <w:sz w:val="20"/>
                <w:szCs w:val="20"/>
                <w:color w:val="auto"/>
              </w:rPr>
            </w:pPr>
            <w:r>
              <w:rPr>
                <w:rFonts w:ascii="Arial" w:cs="Arial" w:eastAsia="Arial" w:hAnsi="Arial"/>
                <w:sz w:val="16"/>
                <w:szCs w:val="16"/>
                <w:color w:val="auto"/>
              </w:rPr>
              <w:t>Additions</w:t>
            </w:r>
          </w:p>
        </w:tc>
        <w:tc>
          <w:tcPr>
            <w:tcW w:w="74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60" w:type="dxa"/>
            <w:vAlign w:val="bottom"/>
            <w:tcBorders>
              <w:bottom w:val="single" w:sz="8" w:color="CCEDFF"/>
            </w:tcBorders>
            <w:shd w:val="clear" w:color="auto" w:fill="CCEDFF"/>
          </w:tcPr>
          <w:p>
            <w:pPr>
              <w:ind w:left="60"/>
              <w:spacing w:after="0"/>
              <w:rPr>
                <w:sz w:val="20"/>
                <w:szCs w:val="20"/>
                <w:color w:val="auto"/>
              </w:rPr>
            </w:pPr>
            <w:r>
              <w:rPr>
                <w:rFonts w:ascii="Arial" w:cs="Arial" w:eastAsia="Arial" w:hAnsi="Arial"/>
                <w:sz w:val="16"/>
                <w:szCs w:val="16"/>
                <w:color w:val="auto"/>
              </w:rPr>
              <w:t>Revenue recognized</w:t>
            </w:r>
          </w:p>
        </w:tc>
        <w:tc>
          <w:tcPr>
            <w:tcW w:w="74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(3,145)</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560" w:type="dxa"/>
            <w:vAlign w:val="bottom"/>
          </w:tcPr>
          <w:p>
            <w:pPr>
              <w:spacing w:after="0" w:line="183" w:lineRule="exact"/>
              <w:rPr>
                <w:sz w:val="20"/>
                <w:szCs w:val="20"/>
                <w:color w:val="auto"/>
              </w:rPr>
            </w:pPr>
            <w:r>
              <w:rPr>
                <w:rFonts w:ascii="Arial" w:cs="Arial" w:eastAsia="Arial" w:hAnsi="Arial"/>
                <w:sz w:val="16"/>
                <w:szCs w:val="16"/>
                <w:color w:val="auto"/>
              </w:rPr>
              <w:t>Contract liabilities at March 31, 2026</w:t>
            </w:r>
          </w:p>
        </w:tc>
        <w:tc>
          <w:tcPr>
            <w:tcW w:w="74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11,144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Obligations for returns and refunds were considered immaterial as of March 31, 2026.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aggregate amount of the transaction price allocated to remaining performance obligations from our over time product lines was $0.3 million as of March 31, 2026. We expect to recognize revenue on 100% of the remaining performance obligations over the next twelve months.</w:t>
      </w:r>
    </w:p>
    <w:p>
      <w:pPr>
        <w:spacing w:after="0" w:line="92"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 xml:space="preserve">We apply the practical expedient available under </w:t>
      </w:r>
      <w:r>
        <w:rPr>
          <w:rFonts w:ascii="Arial" w:cs="Arial" w:eastAsia="Arial" w:hAnsi="Arial"/>
          <w:sz w:val="17"/>
          <w:szCs w:val="17"/>
          <w:i w:val="1"/>
          <w:iCs w:val="1"/>
          <w:color w:val="auto"/>
        </w:rPr>
        <w:t>Accounting Standards Codification Topic 606, Revenue from Contracts with Customers (“ASC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which permits us not to disclose information about remaining performance obligations that have original expected durations of one year or</w:t>
      </w:r>
      <w:r>
        <w:rPr>
          <w:rFonts w:ascii="Arial" w:cs="Arial" w:eastAsia="Arial" w:hAnsi="Arial"/>
          <w:sz w:val="17"/>
          <w:szCs w:val="17"/>
          <w:i w:val="1"/>
          <w:iCs w:val="1"/>
          <w:color w:val="auto"/>
        </w:rPr>
        <w:t xml:space="preserve"> </w:t>
      </w:r>
      <w:r>
        <w:rPr>
          <w:rFonts w:ascii="Arial" w:cs="Arial" w:eastAsia="Arial" w:hAnsi="Arial"/>
          <w:sz w:val="17"/>
          <w:szCs w:val="17"/>
          <w:color w:val="auto"/>
        </w:rPr>
        <w:t>less.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INVENTORY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 summary of inventories as of March 31, 2026 and December 31, 2025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83"/>
        </w:trPr>
        <w:tc>
          <w:tcPr>
            <w:tcW w:w="774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Raw materials</w:t>
            </w:r>
          </w:p>
        </w:tc>
        <w:tc>
          <w:tcPr>
            <w:tcW w:w="24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23,410</w:t>
            </w:r>
          </w:p>
        </w:tc>
        <w:tc>
          <w:tcPr>
            <w:tcW w:w="34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23,252</w:t>
            </w:r>
          </w:p>
        </w:tc>
      </w:tr>
      <w:tr>
        <w:trPr>
          <w:trHeight w:val="189"/>
        </w:trPr>
        <w:tc>
          <w:tcPr>
            <w:tcW w:w="7740" w:type="dxa"/>
            <w:vAlign w:val="bottom"/>
          </w:tcPr>
          <w:p>
            <w:pPr>
              <w:spacing w:after="0"/>
              <w:rPr>
                <w:sz w:val="20"/>
                <w:szCs w:val="20"/>
                <w:color w:val="auto"/>
              </w:rPr>
            </w:pPr>
            <w:r>
              <w:rPr>
                <w:rFonts w:ascii="Arial" w:cs="Arial" w:eastAsia="Arial" w:hAnsi="Arial"/>
                <w:sz w:val="16"/>
                <w:szCs w:val="16"/>
                <w:color w:val="auto"/>
              </w:rPr>
              <w:t>Work in progress</w:t>
            </w:r>
          </w:p>
        </w:tc>
        <w:tc>
          <w:tcPr>
            <w:tcW w:w="24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13,995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20,224</w:t>
            </w:r>
          </w:p>
        </w:tc>
      </w:tr>
      <w:tr>
        <w:trPr>
          <w:trHeight w:val="189"/>
        </w:trPr>
        <w:tc>
          <w:tcPr>
            <w:tcW w:w="774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auto"/>
            </w:tcBorders>
            <w:shd w:val="clear" w:color="auto" w:fill="CCEDFF"/>
          </w:tcPr>
          <w:p>
            <w:pPr>
              <w:spacing w:after="0"/>
              <w:rPr>
                <w:sz w:val="16"/>
                <w:szCs w:val="16"/>
                <w:color w:val="auto"/>
              </w:rPr>
            </w:pPr>
          </w:p>
        </w:tc>
        <w:tc>
          <w:tcPr>
            <w:tcW w:w="14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215,582</w:t>
            </w:r>
          </w:p>
        </w:tc>
        <w:tc>
          <w:tcPr>
            <w:tcW w:w="18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0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204,957</w:t>
            </w:r>
          </w:p>
        </w:tc>
      </w:tr>
      <w:tr>
        <w:trPr>
          <w:trHeight w:val="183"/>
        </w:trPr>
        <w:tc>
          <w:tcPr>
            <w:tcW w:w="7740" w:type="dxa"/>
            <w:vAlign w:val="bottom"/>
          </w:tcPr>
          <w:p>
            <w:pPr>
              <w:spacing w:after="0" w:line="183" w:lineRule="exact"/>
              <w:rPr>
                <w:sz w:val="20"/>
                <w:szCs w:val="20"/>
                <w:color w:val="auto"/>
              </w:rPr>
            </w:pPr>
            <w:r>
              <w:rPr>
                <w:rFonts w:ascii="Arial" w:cs="Arial" w:eastAsia="Arial" w:hAnsi="Arial"/>
                <w:sz w:val="16"/>
                <w:szCs w:val="16"/>
                <w:b w:val="1"/>
                <w:bCs w:val="1"/>
                <w:color w:val="auto"/>
              </w:rPr>
              <w:t>Inventory, net</w:t>
            </w:r>
          </w:p>
        </w:tc>
        <w:tc>
          <w:tcPr>
            <w:tcW w:w="240" w:type="dxa"/>
            <w:vAlign w:val="bottom"/>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252,987</w:t>
            </w:r>
          </w:p>
        </w:tc>
        <w:tc>
          <w:tcPr>
            <w:tcW w:w="34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248,433</w:t>
            </w: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0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All amounts in the table above are reported net of obsolescence reserves of $114.1 million and $104.0 million as of March 31, 2026 and December 31, 2025,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PROPERTY AND EQUIPMENT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 summary of property and equipment as of March 31, 2026 and December 31, 2025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8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r>
      <w:tr>
        <w:trPr>
          <w:trHeight w:val="183"/>
        </w:trPr>
        <w:tc>
          <w:tcPr>
            <w:tcW w:w="782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Land</w:t>
            </w:r>
          </w:p>
        </w:tc>
        <w:tc>
          <w:tcPr>
            <w:tcW w:w="220" w:type="dxa"/>
            <w:vAlign w:val="bottom"/>
            <w:shd w:val="clear" w:color="auto" w:fill="CCEDFF"/>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13,461</w:t>
            </w:r>
          </w:p>
        </w:tc>
        <w:tc>
          <w:tcPr>
            <w:tcW w:w="320" w:type="dxa"/>
            <w:vAlign w:val="bottom"/>
            <w:gridSpan w:val="2"/>
            <w:shd w:val="clear" w:color="auto" w:fill="CCEDFF"/>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13,409</w:t>
            </w:r>
          </w:p>
        </w:tc>
      </w:tr>
      <w:tr>
        <w:trPr>
          <w:trHeight w:val="189"/>
        </w:trPr>
        <w:tc>
          <w:tcPr>
            <w:tcW w:w="7820" w:type="dxa"/>
            <w:vAlign w:val="bottom"/>
          </w:tcPr>
          <w:p>
            <w:pPr>
              <w:spacing w:after="0"/>
              <w:rPr>
                <w:sz w:val="20"/>
                <w:szCs w:val="20"/>
                <w:color w:val="auto"/>
              </w:rPr>
            </w:pPr>
            <w:r>
              <w:rPr>
                <w:rFonts w:ascii="Arial" w:cs="Arial" w:eastAsia="Arial" w:hAnsi="Arial"/>
                <w:sz w:val="16"/>
                <w:szCs w:val="16"/>
                <w:color w:val="auto"/>
              </w:rPr>
              <w:t>Buildings, building improvements and leasehold improvements</w:t>
            </w:r>
          </w:p>
        </w:tc>
        <w:tc>
          <w:tcPr>
            <w:tcW w:w="22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47,282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50,168</w:t>
            </w:r>
          </w:p>
        </w:tc>
      </w:tr>
      <w:tr>
        <w:trPr>
          <w:trHeight w:val="189"/>
        </w:trPr>
        <w:tc>
          <w:tcPr>
            <w:tcW w:w="7820" w:type="dxa"/>
            <w:vAlign w:val="bottom"/>
            <w:shd w:val="clear" w:color="auto" w:fill="CCEDFF"/>
          </w:tcPr>
          <w:p>
            <w:pPr>
              <w:spacing w:after="0"/>
              <w:rPr>
                <w:sz w:val="20"/>
                <w:szCs w:val="20"/>
                <w:color w:val="auto"/>
              </w:rPr>
            </w:pPr>
            <w:r>
              <w:rPr>
                <w:rFonts w:ascii="Arial" w:cs="Arial" w:eastAsia="Arial" w:hAnsi="Arial"/>
                <w:sz w:val="16"/>
                <w:szCs w:val="16"/>
                <w:color w:val="auto"/>
              </w:rPr>
              <w:t>Manufacturing machinery and equipment</w:t>
            </w:r>
          </w:p>
        </w:tc>
        <w:tc>
          <w:tcPr>
            <w:tcW w:w="22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71,647</w:t>
            </w:r>
          </w:p>
        </w:tc>
        <w:tc>
          <w:tcPr>
            <w:tcW w:w="18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70,579</w:t>
            </w:r>
          </w:p>
        </w:tc>
      </w:tr>
      <w:tr>
        <w:trPr>
          <w:trHeight w:val="189"/>
        </w:trPr>
        <w:tc>
          <w:tcPr>
            <w:tcW w:w="7820" w:type="dxa"/>
            <w:vAlign w:val="bottom"/>
          </w:tcPr>
          <w:p>
            <w:pPr>
              <w:spacing w:after="0"/>
              <w:rPr>
                <w:sz w:val="20"/>
                <w:szCs w:val="20"/>
                <w:color w:val="auto"/>
              </w:rPr>
            </w:pPr>
            <w:r>
              <w:rPr>
                <w:rFonts w:ascii="Arial" w:cs="Arial" w:eastAsia="Arial" w:hAnsi="Arial"/>
                <w:sz w:val="16"/>
                <w:szCs w:val="16"/>
                <w:color w:val="auto"/>
              </w:rPr>
              <w:t>Rental tools</w:t>
            </w:r>
          </w:p>
        </w:tc>
        <w:tc>
          <w:tcPr>
            <w:tcW w:w="22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86,193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73,032</w:t>
            </w:r>
          </w:p>
        </w:tc>
      </w:tr>
      <w:tr>
        <w:trPr>
          <w:trHeight w:val="189"/>
        </w:trPr>
        <w:tc>
          <w:tcPr>
            <w:tcW w:w="7820" w:type="dxa"/>
            <w:vAlign w:val="bottom"/>
            <w:shd w:val="clear" w:color="auto" w:fill="CCEDFF"/>
          </w:tcPr>
          <w:p>
            <w:pPr>
              <w:spacing w:after="0"/>
              <w:rPr>
                <w:sz w:val="20"/>
                <w:szCs w:val="20"/>
                <w:color w:val="auto"/>
              </w:rPr>
            </w:pPr>
            <w:r>
              <w:rPr>
                <w:rFonts w:ascii="Arial" w:cs="Arial" w:eastAsia="Arial" w:hAnsi="Arial"/>
                <w:sz w:val="16"/>
                <w:szCs w:val="16"/>
                <w:color w:val="auto"/>
              </w:rPr>
              <w:t>Office equipment and computer software</w:t>
            </w:r>
          </w:p>
        </w:tc>
        <w:tc>
          <w:tcPr>
            <w:tcW w:w="22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3,105</w:t>
            </w:r>
          </w:p>
        </w:tc>
        <w:tc>
          <w:tcPr>
            <w:tcW w:w="18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3,122</w:t>
            </w:r>
          </w:p>
        </w:tc>
      </w:tr>
      <w:tr>
        <w:trPr>
          <w:trHeight w:val="189"/>
        </w:trPr>
        <w:tc>
          <w:tcPr>
            <w:tcW w:w="7820" w:type="dxa"/>
            <w:vAlign w:val="bottom"/>
          </w:tcPr>
          <w:p>
            <w:pPr>
              <w:spacing w:after="0"/>
              <w:rPr>
                <w:sz w:val="20"/>
                <w:szCs w:val="20"/>
                <w:color w:val="auto"/>
              </w:rPr>
            </w:pPr>
            <w:r>
              <w:rPr>
                <w:rFonts w:ascii="Arial" w:cs="Arial" w:eastAsia="Arial" w:hAnsi="Arial"/>
                <w:sz w:val="16"/>
                <w:szCs w:val="16"/>
                <w:color w:val="auto"/>
              </w:rPr>
              <w:t>Vehicles</w:t>
            </w:r>
          </w:p>
        </w:tc>
        <w:tc>
          <w:tcPr>
            <w:tcW w:w="22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14,684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14,595</w:t>
            </w:r>
          </w:p>
        </w:tc>
      </w:tr>
      <w:tr>
        <w:trPr>
          <w:trHeight w:val="189"/>
        </w:trPr>
        <w:tc>
          <w:tcPr>
            <w:tcW w:w="782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Right-of-use leases – finance</w:t>
            </w:r>
          </w:p>
        </w:tc>
        <w:tc>
          <w:tcPr>
            <w:tcW w:w="220" w:type="dxa"/>
            <w:vAlign w:val="bottom"/>
            <w:tcBorders>
              <w:bottom w:val="single" w:sz="8" w:color="auto"/>
            </w:tcBorders>
            <w:shd w:val="clear" w:color="auto" w:fill="CCEDFF"/>
          </w:tcPr>
          <w:p>
            <w:pPr>
              <w:spacing w:after="0"/>
              <w:rPr>
                <w:sz w:val="16"/>
                <w:szCs w:val="16"/>
                <w:color w:val="auto"/>
              </w:rPr>
            </w:pPr>
          </w:p>
        </w:tc>
        <w:tc>
          <w:tcPr>
            <w:tcW w:w="142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35,453</w:t>
            </w:r>
          </w:p>
        </w:tc>
        <w:tc>
          <w:tcPr>
            <w:tcW w:w="180" w:type="dxa"/>
            <w:vAlign w:val="bottom"/>
            <w:tcBorders>
              <w:bottom w:val="single" w:sz="8" w:color="CCEDFF"/>
            </w:tcBorders>
            <w:shd w:val="clear" w:color="auto" w:fill="CCEDFF"/>
          </w:tcPr>
          <w:p>
            <w:pPr>
              <w:spacing w:after="0"/>
              <w:rPr>
                <w:sz w:val="16"/>
                <w:szCs w:val="16"/>
                <w:color w:val="auto"/>
              </w:rPr>
            </w:pPr>
          </w:p>
        </w:tc>
        <w:tc>
          <w:tcPr>
            <w:tcW w:w="14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36,341</w:t>
            </w:r>
          </w:p>
        </w:tc>
      </w:tr>
      <w:tr>
        <w:trPr>
          <w:trHeight w:val="183"/>
        </w:trPr>
        <w:tc>
          <w:tcPr>
            <w:tcW w:w="7820" w:type="dxa"/>
            <w:vAlign w:val="bottom"/>
          </w:tcPr>
          <w:p>
            <w:pPr>
              <w:spacing w:after="0" w:line="183" w:lineRule="exact"/>
              <w:rPr>
                <w:sz w:val="20"/>
                <w:szCs w:val="20"/>
                <w:color w:val="auto"/>
              </w:rPr>
            </w:pPr>
            <w:r>
              <w:rPr>
                <w:rFonts w:ascii="Arial" w:cs="Arial" w:eastAsia="Arial" w:hAnsi="Arial"/>
                <w:sz w:val="16"/>
                <w:szCs w:val="16"/>
                <w:b w:val="1"/>
                <w:bCs w:val="1"/>
                <w:color w:val="auto"/>
              </w:rPr>
              <w:t>Total Property and equipment</w:t>
            </w:r>
          </w:p>
        </w:tc>
        <w:tc>
          <w:tcPr>
            <w:tcW w:w="220" w:type="dxa"/>
            <w:vAlign w:val="bottom"/>
          </w:tcPr>
          <w:p>
            <w:pPr>
              <w:spacing w:after="0"/>
              <w:rPr>
                <w:sz w:val="15"/>
                <w:szCs w:val="15"/>
                <w:color w:val="auto"/>
              </w:rPr>
            </w:pPr>
          </w:p>
        </w:tc>
        <w:tc>
          <w:tcPr>
            <w:tcW w:w="14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271,825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261,246</w:t>
            </w:r>
          </w:p>
        </w:tc>
      </w:tr>
      <w:tr>
        <w:trPr>
          <w:trHeight w:val="189"/>
        </w:trPr>
        <w:tc>
          <w:tcPr>
            <w:tcW w:w="782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auto"/>
            </w:tcBorders>
            <w:shd w:val="clear" w:color="auto" w:fill="CCEDFF"/>
          </w:tcPr>
          <w:p>
            <w:pPr>
              <w:spacing w:after="0"/>
              <w:rPr>
                <w:sz w:val="16"/>
                <w:szCs w:val="16"/>
                <w:color w:val="auto"/>
              </w:rPr>
            </w:pPr>
          </w:p>
        </w:tc>
        <w:tc>
          <w:tcPr>
            <w:tcW w:w="14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(108,497)</w:t>
            </w:r>
          </w:p>
        </w:tc>
        <w:tc>
          <w:tcPr>
            <w:tcW w:w="180" w:type="dxa"/>
            <w:vAlign w:val="bottom"/>
            <w:tcBorders>
              <w:bottom w:val="single" w:sz="8" w:color="CCEDFF"/>
            </w:tcBorders>
            <w:shd w:val="clear" w:color="auto" w:fill="CCEDFF"/>
          </w:tcPr>
          <w:p>
            <w:pPr>
              <w:spacing w:after="0"/>
              <w:rPr>
                <w:sz w:val="16"/>
                <w:szCs w:val="16"/>
                <w:color w:val="auto"/>
              </w:rPr>
            </w:pPr>
          </w:p>
        </w:tc>
        <w:tc>
          <w:tcPr>
            <w:tcW w:w="14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(102,372)</w:t>
            </w:r>
          </w:p>
        </w:tc>
      </w:tr>
      <w:tr>
        <w:trPr>
          <w:trHeight w:val="183"/>
        </w:trPr>
        <w:tc>
          <w:tcPr>
            <w:tcW w:w="7820" w:type="dxa"/>
            <w:vAlign w:val="bottom"/>
          </w:tcPr>
          <w:p>
            <w:pPr>
              <w:spacing w:after="0" w:line="183" w:lineRule="exact"/>
              <w:rPr>
                <w:sz w:val="20"/>
                <w:szCs w:val="20"/>
                <w:color w:val="auto"/>
              </w:rPr>
            </w:pPr>
            <w:r>
              <w:rPr>
                <w:rFonts w:ascii="Arial" w:cs="Arial" w:eastAsia="Arial" w:hAnsi="Arial"/>
                <w:sz w:val="16"/>
                <w:szCs w:val="16"/>
                <w:b w:val="1"/>
                <w:bCs w:val="1"/>
                <w:color w:val="auto"/>
              </w:rPr>
              <w:t>Net Property and equipment</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163,328</w:t>
            </w:r>
          </w:p>
        </w:tc>
        <w:tc>
          <w:tcPr>
            <w:tcW w:w="320" w:type="dxa"/>
            <w:vAlign w:val="bottom"/>
            <w:gridSpan w:val="2"/>
          </w:tcPr>
          <w:p>
            <w:pPr>
              <w:jc w:val="right"/>
              <w:ind w:right="60"/>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158,874</w:t>
            </w:r>
          </w:p>
        </w:tc>
      </w:tr>
      <w:tr>
        <w:trPr>
          <w:trHeight w:val="20"/>
        </w:trPr>
        <w:tc>
          <w:tcPr>
            <w:tcW w:w="7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-402590</wp:posOffset>
            </wp:positionV>
            <wp:extent cx="1117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1117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0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amortization expense for the right-of-use finance lease assets was $2.1 million and $1.7 million for the three months ended March 31, 2026 and 2025, respectively.</w:t>
      </w:r>
    </w:p>
    <w:p>
      <w:pPr>
        <w:spacing w:after="0" w:line="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Depreciation expense related to property and equipment was $9.9 million and $9.6 million for the three months ended March 31, 2026 and 2025,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ASSETS HELD FOR SALE</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i w:val="1"/>
          <w:iCs w:val="1"/>
          <w:color w:val="auto"/>
        </w:rPr>
        <w:t>Accounting Standards Codification Topic 360, Property, Plant, and Equipment (“ASC 360”)</w:t>
      </w:r>
      <w:r>
        <w:rPr>
          <w:rFonts w:ascii="Arial" w:cs="Arial" w:eastAsia="Arial" w:hAnsi="Arial"/>
          <w:sz w:val="17"/>
          <w:szCs w:val="17"/>
          <w:color w:val="auto"/>
        </w:rPr>
        <w:t xml:space="preserve">, specifically ASC 360-10-45-9, we identified $1.2 million of land and buildings as held for sale. The assets’ net carrying amounts are classified as </w:t>
      </w:r>
      <w:r>
        <w:rPr>
          <w:rFonts w:ascii="Arial" w:cs="Arial" w:eastAsia="Arial" w:hAnsi="Arial"/>
          <w:sz w:val="17"/>
          <w:szCs w:val="17"/>
          <w:i w:val="1"/>
          <w:iCs w:val="1"/>
          <w:color w:val="auto"/>
        </w:rPr>
        <w:t>Assets held for sale</w:t>
      </w:r>
      <w:r>
        <w:rPr>
          <w:rFonts w:ascii="Arial" w:cs="Arial" w:eastAsia="Arial" w:hAnsi="Arial"/>
          <w:sz w:val="17"/>
          <w:szCs w:val="17"/>
          <w:color w:val="auto"/>
        </w:rPr>
        <w:t xml:space="preserve"> in our Condensed Consolidated Balance Sheets at March 31, 2026.</w:t>
      </w:r>
    </w:p>
    <w:p>
      <w:pPr>
        <w:spacing w:after="0" w:line="10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 xml:space="preserve">In the first quarter of 2025, we identified a decrease in the market price of long-lived assets related to land and a building in Mexico classified as assets held for sale at March 31, 2025. We determined the carrying values were not recoverable and exceeded their fair values. We then measured the impairment losses by comparing the book values with current third-party quoted market prices, resulting in a total impairment of $2.9 million. The impairment loss recorded is presented as </w:t>
      </w:r>
      <w:r>
        <w:rPr>
          <w:rFonts w:ascii="Arial" w:cs="Arial" w:eastAsia="Arial" w:hAnsi="Arial"/>
          <w:sz w:val="17"/>
          <w:szCs w:val="17"/>
          <w:i w:val="1"/>
          <w:iCs w:val="1"/>
          <w:color w:val="auto"/>
        </w:rPr>
        <w:t>Impairment of long-lived assets</w:t>
      </w:r>
      <w:r>
        <w:rPr>
          <w:rFonts w:ascii="Arial" w:cs="Arial" w:eastAsia="Arial" w:hAnsi="Arial"/>
          <w:sz w:val="17"/>
          <w:szCs w:val="17"/>
          <w:color w:val="auto"/>
        </w:rPr>
        <w:t xml:space="preserve"> in our Condensed Consolidated Statements of Operations and Comprehensive Income for the three months ended March 31, 2025.</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NOTE 8. INTANGIBLE ASSETS AND GOODWILL</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Intangible assets include customer relationships, non-compete agreements, trade names, technology, patents, and other intangibles associated with various business and asset acquisitions. These acquired intangible assets were recorded at fair value determined as of the date of acquisition and are being amortized over the period we expect to benefit from the assets.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 summary of intangible assets as of March 31, 2026 and December 31, 2025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68"/>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219"/>
              <w:spacing w:after="0" w:line="168" w:lineRule="exact"/>
              <w:rPr>
                <w:sz w:val="20"/>
                <w:szCs w:val="20"/>
                <w:color w:val="auto"/>
              </w:rPr>
            </w:pPr>
            <w:r>
              <w:rPr>
                <w:rFonts w:ascii="Arial" w:cs="Arial" w:eastAsia="Arial" w:hAnsi="Arial"/>
                <w:sz w:val="16"/>
                <w:szCs w:val="16"/>
                <w:b w:val="1"/>
                <w:bCs w:val="1"/>
                <w:color w:val="auto"/>
              </w:rPr>
              <w:t>Net Carrying</w:t>
            </w:r>
          </w:p>
        </w:tc>
      </w:tr>
      <w:tr>
        <w:trPr>
          <w:trHeight w:val="203"/>
        </w:trPr>
        <w:tc>
          <w:tcPr>
            <w:tcW w:w="63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r>
      <w:tr>
        <w:trPr>
          <w:trHeight w:val="183"/>
        </w:trPr>
        <w:tc>
          <w:tcPr>
            <w:tcW w:w="632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Customer relationships</w:t>
            </w:r>
          </w:p>
        </w:tc>
        <w:tc>
          <w:tcPr>
            <w:tcW w:w="100" w:type="dxa"/>
            <w:vAlign w:val="bottom"/>
            <w:shd w:val="clear" w:color="auto" w:fill="CCED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145,648</w:t>
            </w:r>
          </w:p>
        </w:tc>
        <w:tc>
          <w:tcPr>
            <w:tcW w:w="22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(50,186)</w:t>
            </w:r>
          </w:p>
        </w:tc>
        <w:tc>
          <w:tcPr>
            <w:tcW w:w="260" w:type="dxa"/>
            <w:vAlign w:val="bottom"/>
            <w:gridSpan w:val="2"/>
            <w:shd w:val="clear" w:color="auto" w:fill="CCED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95,462</w:t>
            </w:r>
          </w:p>
        </w:tc>
      </w:tr>
      <w:tr>
        <w:trPr>
          <w:trHeight w:val="189"/>
        </w:trPr>
        <w:tc>
          <w:tcPr>
            <w:tcW w:w="6320" w:type="dxa"/>
            <w:vAlign w:val="bottom"/>
          </w:tcPr>
          <w:p>
            <w:pPr>
              <w:spacing w:after="0"/>
              <w:rPr>
                <w:sz w:val="20"/>
                <w:szCs w:val="20"/>
                <w:color w:val="auto"/>
              </w:rPr>
            </w:pPr>
            <w:r>
              <w:rPr>
                <w:rFonts w:ascii="Arial" w:cs="Arial" w:eastAsia="Arial" w:hAnsi="Arial"/>
                <w:sz w:val="16"/>
                <w:szCs w:val="16"/>
                <w:color w:val="auto"/>
              </w:rPr>
              <w:t>Trade names</w:t>
            </w:r>
          </w:p>
        </w:tc>
        <w:tc>
          <w:tcPr>
            <w:tcW w:w="10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11,700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(2,167)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9,533</w:t>
            </w:r>
          </w:p>
        </w:tc>
      </w:tr>
      <w:tr>
        <w:trPr>
          <w:trHeight w:val="189"/>
        </w:trPr>
        <w:tc>
          <w:tcPr>
            <w:tcW w:w="632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Technology, patents, and other</w:t>
            </w:r>
          </w:p>
        </w:tc>
        <w:tc>
          <w:tcPr>
            <w:tcW w:w="100" w:type="dxa"/>
            <w:vAlign w:val="bottom"/>
            <w:tcBorders>
              <w:bottom w:val="single" w:sz="8" w:color="auto"/>
            </w:tcBorders>
            <w:shd w:val="clear" w:color="auto" w:fill="CCEDFF"/>
          </w:tcPr>
          <w:p>
            <w:pPr>
              <w:spacing w:after="0"/>
              <w:rPr>
                <w:sz w:val="16"/>
                <w:szCs w:val="16"/>
                <w:color w:val="auto"/>
              </w:rPr>
            </w:pPr>
          </w:p>
        </w:tc>
        <w:tc>
          <w:tcPr>
            <w:tcW w:w="14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8,100</w:t>
            </w:r>
          </w:p>
        </w:tc>
        <w:tc>
          <w:tcPr>
            <w:tcW w:w="120" w:type="dxa"/>
            <w:vAlign w:val="bottom"/>
            <w:tcBorders>
              <w:bottom w:val="single" w:sz="8" w:color="CCEDFF"/>
            </w:tcBorders>
            <w:shd w:val="clear" w:color="auto" w:fill="CCEDFF"/>
          </w:tcPr>
          <w:p>
            <w:pPr>
              <w:spacing w:after="0"/>
              <w:rPr>
                <w:sz w:val="16"/>
                <w:szCs w:val="16"/>
                <w:color w:val="auto"/>
              </w:rPr>
            </w:pPr>
          </w:p>
        </w:tc>
        <w:tc>
          <w:tcPr>
            <w:tcW w:w="100" w:type="dxa"/>
            <w:vAlign w:val="bottom"/>
            <w:tcBorders>
              <w:bottom w:val="single" w:sz="8" w:color="auto"/>
            </w:tcBorders>
            <w:shd w:val="clear" w:color="auto" w:fill="CCEDFF"/>
          </w:tcPr>
          <w:p>
            <w:pPr>
              <w:spacing w:after="0"/>
              <w:rPr>
                <w:sz w:val="16"/>
                <w:szCs w:val="16"/>
                <w:color w:val="auto"/>
              </w:rPr>
            </w:pPr>
          </w:p>
        </w:tc>
        <w:tc>
          <w:tcPr>
            <w:tcW w:w="15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(1,115)</w:t>
            </w:r>
          </w:p>
        </w:tc>
        <w:tc>
          <w:tcPr>
            <w:tcW w:w="140" w:type="dxa"/>
            <w:vAlign w:val="bottom"/>
            <w:tcBorders>
              <w:bottom w:val="single" w:sz="8" w:color="CCEDFF"/>
            </w:tcBorders>
            <w:shd w:val="clear" w:color="auto" w:fill="CCEDFF"/>
          </w:tcPr>
          <w:p>
            <w:pPr>
              <w:spacing w:after="0"/>
              <w:rPr>
                <w:sz w:val="16"/>
                <w:szCs w:val="16"/>
                <w:color w:val="auto"/>
              </w:rPr>
            </w:pPr>
          </w:p>
        </w:tc>
        <w:tc>
          <w:tcPr>
            <w:tcW w:w="120" w:type="dxa"/>
            <w:vAlign w:val="bottom"/>
            <w:tcBorders>
              <w:bottom w:val="single" w:sz="8" w:color="auto"/>
            </w:tcBorders>
            <w:shd w:val="clear" w:color="auto" w:fill="CCEDFF"/>
          </w:tcPr>
          <w:p>
            <w:pPr>
              <w:spacing w:after="0"/>
              <w:rPr>
                <w:sz w:val="16"/>
                <w:szCs w:val="16"/>
                <w:color w:val="auto"/>
              </w:rPr>
            </w:pPr>
          </w:p>
        </w:tc>
        <w:tc>
          <w:tcPr>
            <w:tcW w:w="132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6,985</w:t>
            </w:r>
          </w:p>
        </w:tc>
      </w:tr>
      <w:tr>
        <w:trPr>
          <w:trHeight w:val="182"/>
        </w:trPr>
        <w:tc>
          <w:tcPr>
            <w:tcW w:w="6320" w:type="dxa"/>
            <w:vAlign w:val="bottom"/>
          </w:tcPr>
          <w:p>
            <w:pPr>
              <w:ind w:left="120"/>
              <w:spacing w:after="0" w:line="183" w:lineRule="exact"/>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165,448</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tcPr>
          <w:p>
            <w:pPr>
              <w:jc w:val="right"/>
              <w:spacing w:after="0" w:line="183" w:lineRule="exact"/>
              <w:rPr>
                <w:sz w:val="20"/>
                <w:szCs w:val="20"/>
                <w:color w:val="auto"/>
              </w:rPr>
            </w:pPr>
            <w:r>
              <w:rPr>
                <w:rFonts w:ascii="Arial" w:cs="Arial" w:eastAsia="Arial" w:hAnsi="Arial"/>
                <w:sz w:val="16"/>
                <w:szCs w:val="16"/>
                <w:color w:val="auto"/>
              </w:rPr>
              <w:t>(53,468)</w:t>
            </w:r>
          </w:p>
        </w:tc>
        <w:tc>
          <w:tcPr>
            <w:tcW w:w="2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111,980</w:t>
            </w: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-153670</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-153670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December 31, 2025</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68"/>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219"/>
              <w:spacing w:after="0" w:line="168" w:lineRule="exact"/>
              <w:rPr>
                <w:sz w:val="20"/>
                <w:szCs w:val="20"/>
                <w:color w:val="auto"/>
              </w:rPr>
            </w:pPr>
            <w:r>
              <w:rPr>
                <w:rFonts w:ascii="Arial" w:cs="Arial" w:eastAsia="Arial" w:hAnsi="Arial"/>
                <w:sz w:val="16"/>
                <w:szCs w:val="16"/>
                <w:b w:val="1"/>
                <w:bCs w:val="1"/>
                <w:color w:val="auto"/>
              </w:rPr>
              <w:t>Net Carrying</w:t>
            </w:r>
          </w:p>
        </w:tc>
      </w:tr>
      <w:tr>
        <w:trPr>
          <w:trHeight w:val="203"/>
        </w:trPr>
        <w:tc>
          <w:tcPr>
            <w:tcW w:w="63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r>
      <w:tr>
        <w:trPr>
          <w:trHeight w:val="183"/>
        </w:trPr>
        <w:tc>
          <w:tcPr>
            <w:tcW w:w="632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Customer relationships</w:t>
            </w:r>
          </w:p>
        </w:tc>
        <w:tc>
          <w:tcPr>
            <w:tcW w:w="100" w:type="dxa"/>
            <w:vAlign w:val="bottom"/>
            <w:shd w:val="clear" w:color="auto" w:fill="CCED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145,648</w:t>
            </w:r>
          </w:p>
        </w:tc>
        <w:tc>
          <w:tcPr>
            <w:tcW w:w="30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(46,488)</w:t>
            </w:r>
          </w:p>
        </w:tc>
        <w:tc>
          <w:tcPr>
            <w:tcW w:w="260" w:type="dxa"/>
            <w:vAlign w:val="bottom"/>
            <w:gridSpan w:val="2"/>
            <w:shd w:val="clear" w:color="auto" w:fill="CCED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99,160</w:t>
            </w:r>
          </w:p>
        </w:tc>
      </w:tr>
      <w:tr>
        <w:trPr>
          <w:trHeight w:val="189"/>
        </w:trPr>
        <w:tc>
          <w:tcPr>
            <w:tcW w:w="6320" w:type="dxa"/>
            <w:vAlign w:val="bottom"/>
          </w:tcPr>
          <w:p>
            <w:pPr>
              <w:spacing w:after="0"/>
              <w:rPr>
                <w:sz w:val="20"/>
                <w:szCs w:val="20"/>
                <w:color w:val="auto"/>
              </w:rPr>
            </w:pPr>
            <w:r>
              <w:rPr>
                <w:rFonts w:ascii="Arial" w:cs="Arial" w:eastAsia="Arial" w:hAnsi="Arial"/>
                <w:sz w:val="16"/>
                <w:szCs w:val="16"/>
                <w:color w:val="auto"/>
              </w:rPr>
              <w:t>Trade names</w:t>
            </w:r>
          </w:p>
        </w:tc>
        <w:tc>
          <w:tcPr>
            <w:tcW w:w="10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11,700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9,878</w:t>
            </w:r>
          </w:p>
        </w:tc>
      </w:tr>
      <w:tr>
        <w:trPr>
          <w:trHeight w:val="189"/>
        </w:trPr>
        <w:tc>
          <w:tcPr>
            <w:tcW w:w="632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Technology, patents, and other</w:t>
            </w:r>
          </w:p>
        </w:tc>
        <w:tc>
          <w:tcPr>
            <w:tcW w:w="100" w:type="dxa"/>
            <w:vAlign w:val="bottom"/>
            <w:tcBorders>
              <w:bottom w:val="single" w:sz="8" w:color="auto"/>
            </w:tcBorders>
            <w:shd w:val="clear" w:color="auto" w:fill="CCEDFF"/>
          </w:tcPr>
          <w:p>
            <w:pPr>
              <w:spacing w:after="0"/>
              <w:rPr>
                <w:sz w:val="16"/>
                <w:szCs w:val="16"/>
                <w:color w:val="auto"/>
              </w:rPr>
            </w:pPr>
          </w:p>
        </w:tc>
        <w:tc>
          <w:tcPr>
            <w:tcW w:w="14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8,100</w:t>
            </w:r>
          </w:p>
        </w:tc>
        <w:tc>
          <w:tcPr>
            <w:tcW w:w="120" w:type="dxa"/>
            <w:vAlign w:val="bottom"/>
            <w:tcBorders>
              <w:bottom w:val="single" w:sz="8" w:color="CCEDFF"/>
            </w:tcBorders>
            <w:shd w:val="clear" w:color="auto" w:fill="CCEDFF"/>
          </w:tcPr>
          <w:p>
            <w:pPr>
              <w:spacing w:after="0"/>
              <w:rPr>
                <w:sz w:val="16"/>
                <w:szCs w:val="16"/>
                <w:color w:val="auto"/>
              </w:rPr>
            </w:pPr>
          </w:p>
        </w:tc>
        <w:tc>
          <w:tcPr>
            <w:tcW w:w="18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(908)</w:t>
            </w:r>
          </w:p>
        </w:tc>
        <w:tc>
          <w:tcPr>
            <w:tcW w:w="140" w:type="dxa"/>
            <w:vAlign w:val="bottom"/>
            <w:tcBorders>
              <w:bottom w:val="single" w:sz="8" w:color="CCEDFF"/>
            </w:tcBorders>
            <w:shd w:val="clear" w:color="auto" w:fill="CCEDFF"/>
          </w:tcPr>
          <w:p>
            <w:pPr>
              <w:spacing w:after="0"/>
              <w:rPr>
                <w:sz w:val="16"/>
                <w:szCs w:val="16"/>
                <w:color w:val="auto"/>
              </w:rPr>
            </w:pPr>
          </w:p>
        </w:tc>
        <w:tc>
          <w:tcPr>
            <w:tcW w:w="120" w:type="dxa"/>
            <w:vAlign w:val="bottom"/>
            <w:tcBorders>
              <w:bottom w:val="single" w:sz="8" w:color="auto"/>
            </w:tcBorders>
            <w:shd w:val="clear" w:color="auto" w:fill="CCEDFF"/>
          </w:tcPr>
          <w:p>
            <w:pPr>
              <w:spacing w:after="0"/>
              <w:rPr>
                <w:sz w:val="16"/>
                <w:szCs w:val="16"/>
                <w:color w:val="auto"/>
              </w:rPr>
            </w:pPr>
          </w:p>
        </w:tc>
        <w:tc>
          <w:tcPr>
            <w:tcW w:w="132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7,192</w:t>
            </w:r>
          </w:p>
        </w:tc>
      </w:tr>
      <w:tr>
        <w:trPr>
          <w:trHeight w:val="183"/>
        </w:trPr>
        <w:tc>
          <w:tcPr>
            <w:tcW w:w="6320" w:type="dxa"/>
            <w:vAlign w:val="bottom"/>
          </w:tcPr>
          <w:p>
            <w:pPr>
              <w:ind w:left="120"/>
              <w:spacing w:after="0" w:line="183" w:lineRule="exact"/>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165,448</w:t>
            </w:r>
          </w:p>
        </w:tc>
        <w:tc>
          <w:tcPr>
            <w:tcW w:w="3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(49,218)</w:t>
            </w:r>
          </w:p>
        </w:tc>
        <w:tc>
          <w:tcPr>
            <w:tcW w:w="2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116,230</w:t>
            </w: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-153670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-153670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on intangible assets was $4.2 million and $3.6 million for the three months ended March 31, 2026 and 2025,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roll-forward of goodwill for the three months ended March 31, 2026: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Goodwill, Gross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Impairment</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Goodwill, Net</w:t>
            </w:r>
          </w:p>
        </w:tc>
      </w:tr>
      <w:tr>
        <w:trPr>
          <w:trHeight w:val="183"/>
        </w:trPr>
        <w:tc>
          <w:tcPr>
            <w:tcW w:w="464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Balance at December 31, 2025</w:t>
            </w:r>
          </w:p>
        </w:tc>
        <w:tc>
          <w:tcPr>
            <w:tcW w:w="1780" w:type="dxa"/>
            <w:vAlign w:val="bottom"/>
            <w:gridSpan w:val="2"/>
            <w:shd w:val="clear" w:color="auto" w:fill="CCED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170,224</w:t>
            </w:r>
          </w:p>
        </w:tc>
        <w:tc>
          <w:tcPr>
            <w:tcW w:w="30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(70,504)</w:t>
            </w:r>
          </w:p>
        </w:tc>
        <w:tc>
          <w:tcPr>
            <w:tcW w:w="240" w:type="dxa"/>
            <w:vAlign w:val="bottom"/>
            <w:gridSpan w:val="2"/>
            <w:shd w:val="clear" w:color="auto" w:fill="CCED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99,720</w:t>
            </w:r>
          </w:p>
        </w:tc>
      </w:tr>
      <w:tr>
        <w:trPr>
          <w:trHeight w:val="183"/>
        </w:trPr>
        <w:tc>
          <w:tcPr>
            <w:tcW w:w="4640" w:type="dxa"/>
            <w:vAlign w:val="bottom"/>
            <w:tcBorders>
              <w:top w:val="single" w:sz="8" w:color="CCEDFF"/>
            </w:tcBorders>
          </w:tcPr>
          <w:p>
            <w:pPr>
              <w:ind w:left="120"/>
              <w:spacing w:after="0" w:line="183" w:lineRule="exact"/>
              <w:rPr>
                <w:sz w:val="20"/>
                <w:szCs w:val="20"/>
                <w:color w:val="auto"/>
              </w:rPr>
            </w:pPr>
            <w:r>
              <w:rPr>
                <w:rFonts w:ascii="Arial" w:cs="Arial" w:eastAsia="Arial" w:hAnsi="Arial"/>
                <w:sz w:val="16"/>
                <w:szCs w:val="16"/>
                <w:color w:val="auto"/>
              </w:rPr>
              <w:t>Foreign currency translation adjustment</w:t>
            </w:r>
          </w:p>
        </w:tc>
        <w:tc>
          <w:tcPr>
            <w:tcW w:w="1680" w:type="dxa"/>
            <w:vAlign w:val="bottom"/>
            <w:tcBorders>
              <w:top w:val="single" w:sz="8" w:color="CCED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38</w:t>
            </w:r>
          </w:p>
        </w:tc>
        <w:tc>
          <w:tcPr>
            <w:tcW w:w="120" w:type="dxa"/>
            <w:vAlign w:val="bottom"/>
            <w:tcBorders>
              <w:top w:val="single" w:sz="8" w:color="CCED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CED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38</w:t>
            </w:r>
          </w:p>
        </w:tc>
      </w:tr>
      <w:tr>
        <w:trPr>
          <w:trHeight w:val="202"/>
        </w:trPr>
        <w:tc>
          <w:tcPr>
            <w:tcW w:w="4640" w:type="dxa"/>
            <w:vAlign w:val="bottom"/>
            <w:shd w:val="clear" w:color="auto" w:fill="CCEDFF"/>
          </w:tcPr>
          <w:p>
            <w:pPr>
              <w:spacing w:after="0" w:line="169" w:lineRule="exact"/>
              <w:rPr>
                <w:sz w:val="20"/>
                <w:szCs w:val="20"/>
                <w:color w:val="auto"/>
              </w:rPr>
            </w:pPr>
            <w:r>
              <w:rPr>
                <w:rFonts w:ascii="Arial" w:cs="Arial" w:eastAsia="Arial" w:hAnsi="Arial"/>
                <w:sz w:val="16"/>
                <w:szCs w:val="16"/>
                <w:color w:val="auto"/>
              </w:rPr>
              <w:t>Balance at March 31, 2026</w:t>
            </w:r>
          </w:p>
        </w:tc>
        <w:tc>
          <w:tcPr>
            <w:tcW w:w="1780" w:type="dxa"/>
            <w:vAlign w:val="bottom"/>
            <w:gridSpan w:val="2"/>
            <w:shd w:val="clear" w:color="auto" w:fill="CCEDFF"/>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480" w:type="dxa"/>
            <w:vAlign w:val="bottom"/>
            <w:shd w:val="clear" w:color="auto" w:fill="CCEDFF"/>
          </w:tcPr>
          <w:p>
            <w:pPr>
              <w:jc w:val="right"/>
              <w:ind w:right="39"/>
              <w:spacing w:after="0" w:line="169" w:lineRule="exact"/>
              <w:rPr>
                <w:sz w:val="20"/>
                <w:szCs w:val="20"/>
                <w:color w:val="auto"/>
              </w:rPr>
            </w:pPr>
            <w:r>
              <w:rPr>
                <w:rFonts w:ascii="Arial" w:cs="Arial" w:eastAsia="Arial" w:hAnsi="Arial"/>
                <w:sz w:val="16"/>
                <w:szCs w:val="16"/>
                <w:color w:val="auto"/>
              </w:rPr>
              <w:t>170,262</w:t>
            </w:r>
          </w:p>
        </w:tc>
        <w:tc>
          <w:tcPr>
            <w:tcW w:w="300" w:type="dxa"/>
            <w:vAlign w:val="bottom"/>
            <w:gridSpan w:val="2"/>
            <w:shd w:val="clear" w:color="auto" w:fill="CCEDFF"/>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spacing w:after="0" w:line="169" w:lineRule="exact"/>
              <w:rPr>
                <w:sz w:val="20"/>
                <w:szCs w:val="20"/>
                <w:color w:val="auto"/>
              </w:rPr>
            </w:pPr>
            <w:r>
              <w:rPr>
                <w:rFonts w:ascii="Arial" w:cs="Arial" w:eastAsia="Arial" w:hAnsi="Arial"/>
                <w:sz w:val="16"/>
                <w:szCs w:val="16"/>
                <w:color w:val="auto"/>
              </w:rPr>
              <w:t>(70,504)</w:t>
            </w:r>
          </w:p>
        </w:tc>
        <w:tc>
          <w:tcPr>
            <w:tcW w:w="240" w:type="dxa"/>
            <w:vAlign w:val="bottom"/>
            <w:gridSpan w:val="2"/>
            <w:shd w:val="clear" w:color="auto" w:fill="CCEDFF"/>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340" w:type="dxa"/>
            <w:vAlign w:val="bottom"/>
            <w:shd w:val="clear" w:color="auto" w:fill="CCEDFF"/>
          </w:tcPr>
          <w:p>
            <w:pPr>
              <w:jc w:val="right"/>
              <w:ind w:right="59"/>
              <w:spacing w:after="0" w:line="169" w:lineRule="exact"/>
              <w:rPr>
                <w:sz w:val="20"/>
                <w:szCs w:val="20"/>
                <w:color w:val="auto"/>
              </w:rPr>
            </w:pPr>
            <w:r>
              <w:rPr>
                <w:rFonts w:ascii="Arial" w:cs="Arial" w:eastAsia="Arial" w:hAnsi="Arial"/>
                <w:sz w:val="16"/>
                <w:szCs w:val="16"/>
                <w:color w:val="auto"/>
              </w:rPr>
              <w:t>99,758</w:t>
            </w:r>
          </w:p>
        </w:tc>
      </w:tr>
      <w:tr>
        <w:trPr>
          <w:trHeight w:val="20"/>
        </w:trPr>
        <w:tc>
          <w:tcPr>
            <w:tcW w:w="4640" w:type="dxa"/>
            <w:vAlign w:val="bottom"/>
            <w:tcBorders>
              <w:top w:val="single" w:sz="8" w:color="CCEDFF"/>
            </w:tcBorders>
            <w:shd w:val="clear" w:color="auto" w:fill="CCEDFF"/>
          </w:tcPr>
          <w:p>
            <w:pPr>
              <w:spacing w:after="0" w:line="20" w:lineRule="exact"/>
              <w:rPr>
                <w:sz w:val="1"/>
                <w:szCs w:val="1"/>
                <w:color w:val="auto"/>
              </w:rPr>
            </w:pPr>
          </w:p>
        </w:tc>
        <w:tc>
          <w:tcPr>
            <w:tcW w:w="1680" w:type="dxa"/>
            <w:vAlign w:val="bottom"/>
            <w:tcBorders>
              <w:top w:val="single" w:sz="8" w:color="CCEDFF"/>
            </w:tcBorders>
            <w:shd w:val="clear" w:color="auto" w:fill="CCED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DFF"/>
            </w:tcBorders>
            <w:shd w:val="clear" w:color="auto" w:fill="CCED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DFF"/>
            </w:tcBorders>
            <w:shd w:val="clear" w:color="auto" w:fill="CCED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-281940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-281940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analyzed definite lived intangible assets for impairment as of March 31, 2026 and December 31, 2025, in accordance with ASC 360</w:t>
      </w:r>
      <w:r>
        <w:rPr>
          <w:rFonts w:ascii="Arial" w:cs="Arial" w:eastAsia="Arial" w:hAnsi="Arial"/>
          <w:sz w:val="17"/>
          <w:szCs w:val="17"/>
          <w:i w:val="1"/>
          <w:iCs w:val="1"/>
          <w:color w:val="auto"/>
        </w:rPr>
        <w:t>,</w:t>
      </w:r>
      <w:r>
        <w:rPr>
          <w:rFonts w:ascii="Arial" w:cs="Arial" w:eastAsia="Arial" w:hAnsi="Arial"/>
          <w:sz w:val="17"/>
          <w:szCs w:val="17"/>
          <w:color w:val="auto"/>
        </w:rPr>
        <w:t xml:space="preserve"> noting no impairment indicators were present. We analyzed goodwill for impairment as of March 31, 2026 and December 31, 2025, in accordance with </w:t>
      </w:r>
      <w:r>
        <w:rPr>
          <w:rFonts w:ascii="Arial" w:cs="Arial" w:eastAsia="Arial" w:hAnsi="Arial"/>
          <w:sz w:val="17"/>
          <w:szCs w:val="17"/>
          <w:i w:val="1"/>
          <w:iCs w:val="1"/>
          <w:color w:val="auto"/>
        </w:rPr>
        <w:t xml:space="preserve">Accounting Standards Codification Topic 350, Intangibles—Goodwill and Other (“ASC 350”), </w:t>
      </w:r>
      <w:r>
        <w:rPr>
          <w:rFonts w:ascii="Arial" w:cs="Arial" w:eastAsia="Arial" w:hAnsi="Arial"/>
          <w:sz w:val="17"/>
          <w:szCs w:val="17"/>
          <w:color w:val="auto"/>
        </w:rPr>
        <w:t>noting no impairment indicators were present.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goodwill impairment test as of December 31, 2025, we performed a qualitative assessment to determine if it was more likely than not (that is, a likelihood of more than 50 percent) that the fair value of our reporting unit was less than its carrying value as of the test date, for which we determined that it was not. We evaluated events and circumstances since the date of our last quantitative or qualitative assessment, including macroeconomic conditions, industry, and market conditions, and our overall financial performance, and it was determined that no changes in circumstances indicated that a potential impairment of goodwill had occurred. Therefore, no impairment charges were recorded related to goodwill for the three months ended March 31, 2026. We will continue to evaluate our goodwill and definite lived assets for potential triggering events as conditions warrant.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PREPAIDS AND OTHER CURRENT ASSETS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consist of the following as of March 31, 2026 and December 31,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0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31,</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tcPr>
          <w:p>
            <w:pPr>
              <w:jc w:val="right"/>
              <w:ind w:right="93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32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740" w:type="dxa"/>
            <w:vAlign w:val="bottom"/>
          </w:tcPr>
          <w:p>
            <w:pPr>
              <w:spacing w:after="0"/>
              <w:rPr>
                <w:sz w:val="17"/>
                <w:szCs w:val="17"/>
                <w:color w:val="auto"/>
              </w:rPr>
            </w:pPr>
          </w:p>
        </w:tc>
        <w:tc>
          <w:tcPr>
            <w:tcW w:w="2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9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b w:val="1"/>
                <w:bCs w:val="1"/>
                <w:color w:val="auto"/>
              </w:rPr>
              <w:t>2025</w:t>
            </w:r>
          </w:p>
        </w:tc>
      </w:tr>
      <w:tr>
        <w:trPr>
          <w:trHeight w:val="183"/>
        </w:trPr>
        <w:tc>
          <w:tcPr>
            <w:tcW w:w="32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Prepaid expenses</w:t>
            </w:r>
          </w:p>
        </w:tc>
        <w:tc>
          <w:tcPr>
            <w:tcW w:w="3840" w:type="dxa"/>
            <w:vAlign w:val="bottom"/>
            <w:gridSpan w:val="2"/>
            <w:shd w:val="clear" w:color="auto" w:fill="CCEDFF"/>
          </w:tcPr>
          <w:p>
            <w:pPr>
              <w:jc w:val="right"/>
              <w:ind w:right="193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8,282</w:t>
            </w:r>
          </w:p>
        </w:tc>
        <w:tc>
          <w:tcPr>
            <w:tcW w:w="820" w:type="dxa"/>
            <w:vAlign w:val="bottom"/>
            <w:gridSpan w:val="2"/>
            <w:shd w:val="clear" w:color="auto" w:fill="CCEDFF"/>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2480" w:type="dxa"/>
            <w:vAlign w:val="bottom"/>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6,810</w:t>
            </w:r>
          </w:p>
        </w:tc>
      </w:tr>
      <w:tr>
        <w:trPr>
          <w:trHeight w:val="189"/>
        </w:trPr>
        <w:tc>
          <w:tcPr>
            <w:tcW w:w="3200" w:type="dxa"/>
            <w:vAlign w:val="bottom"/>
          </w:tcPr>
          <w:p>
            <w:pPr>
              <w:spacing w:after="0"/>
              <w:rPr>
                <w:sz w:val="20"/>
                <w:szCs w:val="20"/>
                <w:color w:val="auto"/>
              </w:rPr>
            </w:pPr>
            <w:r>
              <w:rPr>
                <w:rFonts w:ascii="Arial" w:cs="Arial" w:eastAsia="Arial" w:hAnsi="Arial"/>
                <w:sz w:val="16"/>
                <w:szCs w:val="16"/>
                <w:color w:val="auto"/>
              </w:rPr>
              <w:t>Current deposits</w:t>
            </w:r>
          </w:p>
        </w:tc>
        <w:tc>
          <w:tcPr>
            <w:tcW w:w="17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7,466</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tcPr>
          <w:p>
            <w:pPr>
              <w:jc w:val="right"/>
              <w:ind w:right="19"/>
              <w:spacing w:after="0"/>
              <w:rPr>
                <w:sz w:val="20"/>
                <w:szCs w:val="20"/>
                <w:color w:val="auto"/>
              </w:rPr>
            </w:pPr>
            <w:r>
              <w:rPr>
                <w:rFonts w:ascii="Arial" w:cs="Arial" w:eastAsia="Arial" w:hAnsi="Arial"/>
                <w:sz w:val="16"/>
                <w:szCs w:val="16"/>
                <w:color w:val="auto"/>
              </w:rPr>
              <w:t>6,025</w:t>
            </w:r>
          </w:p>
        </w:tc>
      </w:tr>
      <w:tr>
        <w:trPr>
          <w:trHeight w:val="189"/>
        </w:trPr>
        <w:tc>
          <w:tcPr>
            <w:tcW w:w="3200" w:type="dxa"/>
            <w:vAlign w:val="bottom"/>
            <w:shd w:val="clear" w:color="auto" w:fill="CCEDFF"/>
          </w:tcPr>
          <w:p>
            <w:pPr>
              <w:spacing w:after="0"/>
              <w:rPr>
                <w:sz w:val="20"/>
                <w:szCs w:val="20"/>
                <w:color w:val="auto"/>
              </w:rPr>
            </w:pPr>
            <w:r>
              <w:rPr>
                <w:rFonts w:ascii="Arial" w:cs="Arial" w:eastAsia="Arial" w:hAnsi="Arial"/>
                <w:sz w:val="16"/>
                <w:szCs w:val="16"/>
                <w:color w:val="auto"/>
              </w:rPr>
              <w:t>Tax receivables</w:t>
            </w:r>
          </w:p>
        </w:tc>
        <w:tc>
          <w:tcPr>
            <w:tcW w:w="1740" w:type="dxa"/>
            <w:vAlign w:val="bottom"/>
            <w:shd w:val="clear" w:color="auto" w:fill="CCEDFF"/>
          </w:tcPr>
          <w:p>
            <w:pPr>
              <w:spacing w:after="0"/>
              <w:rPr>
                <w:sz w:val="16"/>
                <w:szCs w:val="16"/>
                <w:color w:val="auto"/>
              </w:rPr>
            </w:pPr>
          </w:p>
        </w:tc>
        <w:tc>
          <w:tcPr>
            <w:tcW w:w="2100" w:type="dxa"/>
            <w:vAlign w:val="bottom"/>
            <w:shd w:val="clear" w:color="auto" w:fill="CCEDFF"/>
          </w:tcPr>
          <w:p>
            <w:pPr>
              <w:spacing w:after="0"/>
              <w:rPr>
                <w:sz w:val="16"/>
                <w:szCs w:val="16"/>
                <w:color w:val="auto"/>
              </w:rPr>
            </w:pPr>
          </w:p>
        </w:tc>
        <w:tc>
          <w:tcPr>
            <w:tcW w:w="9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31,391</w:t>
            </w:r>
          </w:p>
        </w:tc>
        <w:tc>
          <w:tcPr>
            <w:tcW w:w="320" w:type="dxa"/>
            <w:vAlign w:val="bottom"/>
            <w:shd w:val="clear" w:color="auto" w:fill="CCEDFF"/>
          </w:tcPr>
          <w:p>
            <w:pPr>
              <w:spacing w:after="0"/>
              <w:rPr>
                <w:sz w:val="16"/>
                <w:szCs w:val="16"/>
                <w:color w:val="auto"/>
              </w:rPr>
            </w:pPr>
          </w:p>
        </w:tc>
        <w:tc>
          <w:tcPr>
            <w:tcW w:w="500" w:type="dxa"/>
            <w:vAlign w:val="bottom"/>
            <w:shd w:val="clear" w:color="auto" w:fill="CCEDFF"/>
          </w:tcPr>
          <w:p>
            <w:pPr>
              <w:spacing w:after="0"/>
              <w:rPr>
                <w:sz w:val="16"/>
                <w:szCs w:val="16"/>
                <w:color w:val="auto"/>
              </w:rPr>
            </w:pPr>
          </w:p>
        </w:tc>
        <w:tc>
          <w:tcPr>
            <w:tcW w:w="2480" w:type="dxa"/>
            <w:vAlign w:val="bottom"/>
            <w:shd w:val="clear" w:color="auto" w:fill="CCEDFF"/>
          </w:tcPr>
          <w:p>
            <w:pPr>
              <w:jc w:val="right"/>
              <w:ind w:right="19"/>
              <w:spacing w:after="0"/>
              <w:rPr>
                <w:sz w:val="20"/>
                <w:szCs w:val="20"/>
                <w:color w:val="auto"/>
              </w:rPr>
            </w:pPr>
            <w:r>
              <w:rPr>
                <w:rFonts w:ascii="Arial" w:cs="Arial" w:eastAsia="Arial" w:hAnsi="Arial"/>
                <w:sz w:val="16"/>
                <w:szCs w:val="16"/>
                <w:color w:val="auto"/>
              </w:rPr>
              <w:t>20,517</w:t>
            </w:r>
          </w:p>
        </w:tc>
      </w:tr>
      <w:tr>
        <w:trPr>
          <w:trHeight w:val="189"/>
        </w:trPr>
        <w:tc>
          <w:tcPr>
            <w:tcW w:w="3200" w:type="dxa"/>
            <w:vAlign w:val="bottom"/>
          </w:tcPr>
          <w:p>
            <w:pPr>
              <w:spacing w:after="0"/>
              <w:rPr>
                <w:sz w:val="20"/>
                <w:szCs w:val="20"/>
                <w:color w:val="auto"/>
              </w:rPr>
            </w:pPr>
            <w:r>
              <w:rPr>
                <w:rFonts w:ascii="Arial" w:cs="Arial" w:eastAsia="Arial" w:hAnsi="Arial"/>
                <w:sz w:val="16"/>
                <w:szCs w:val="16"/>
                <w:color w:val="auto"/>
              </w:rPr>
              <w:t>Other current assets</w:t>
            </w:r>
          </w:p>
        </w:tc>
        <w:tc>
          <w:tcPr>
            <w:tcW w:w="174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2,388</w:t>
            </w:r>
          </w:p>
        </w:tc>
        <w:tc>
          <w:tcPr>
            <w:tcW w:w="3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2,376</w:t>
            </w:r>
          </w:p>
        </w:tc>
      </w:tr>
      <w:tr>
        <w:trPr>
          <w:trHeight w:val="203"/>
        </w:trPr>
        <w:tc>
          <w:tcPr>
            <w:tcW w:w="32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Total</w:t>
            </w:r>
          </w:p>
        </w:tc>
        <w:tc>
          <w:tcPr>
            <w:tcW w:w="3840" w:type="dxa"/>
            <w:vAlign w:val="bottom"/>
            <w:gridSpan w:val="2"/>
            <w:shd w:val="clear" w:color="auto" w:fill="CCEDFF"/>
          </w:tcPr>
          <w:p>
            <w:pPr>
              <w:jc w:val="right"/>
              <w:ind w:right="193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49,527</w:t>
            </w:r>
          </w:p>
        </w:tc>
        <w:tc>
          <w:tcPr>
            <w:tcW w:w="820" w:type="dxa"/>
            <w:vAlign w:val="bottom"/>
            <w:gridSpan w:val="2"/>
            <w:shd w:val="clear" w:color="auto" w:fill="CCEDFF"/>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2480" w:type="dxa"/>
            <w:vAlign w:val="bottom"/>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35,728</w:t>
            </w:r>
          </w:p>
        </w:tc>
      </w:tr>
      <w:tr>
        <w:trPr>
          <w:trHeight w:val="20"/>
        </w:trPr>
        <w:tc>
          <w:tcPr>
            <w:tcW w:w="3200" w:type="dxa"/>
            <w:vAlign w:val="bottom"/>
            <w:tcBorders>
              <w:top w:val="single" w:sz="8" w:color="CCEDFF"/>
            </w:tcBorders>
            <w:shd w:val="clear" w:color="auto" w:fill="CCEDFF"/>
          </w:tcPr>
          <w:p>
            <w:pPr>
              <w:spacing w:after="0" w:line="20" w:lineRule="exact"/>
              <w:rPr>
                <w:sz w:val="1"/>
                <w:szCs w:val="1"/>
                <w:color w:val="auto"/>
              </w:rPr>
            </w:pPr>
          </w:p>
        </w:tc>
        <w:tc>
          <w:tcPr>
            <w:tcW w:w="1740" w:type="dxa"/>
            <w:vAlign w:val="bottom"/>
            <w:tcBorders>
              <w:top w:val="single" w:sz="8" w:color="CCEDFF"/>
            </w:tcBorders>
            <w:shd w:val="clear" w:color="auto" w:fill="CCEDFF"/>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DFF"/>
            </w:tcBorders>
            <w:shd w:val="clear" w:color="auto" w:fill="CCED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2057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2057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NOTE 10. DEBT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Current and long-term debt obligations consisted of the following as of March 31, 2026 and December 31,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479"/>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63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r>
      <w:tr>
        <w:trPr>
          <w:trHeight w:val="183"/>
        </w:trPr>
        <w:tc>
          <w:tcPr>
            <w:tcW w:w="636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Current portion of long-term debt and finance lease obligations:</w:t>
            </w:r>
          </w:p>
        </w:tc>
        <w:tc>
          <w:tcPr>
            <w:tcW w:w="122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50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1540" w:type="dxa"/>
            <w:vAlign w:val="bottom"/>
            <w:shd w:val="clear" w:color="auto" w:fill="CCEDFF"/>
          </w:tcPr>
          <w:p>
            <w:pPr>
              <w:spacing w:after="0"/>
              <w:rPr>
                <w:sz w:val="15"/>
                <w:szCs w:val="15"/>
                <w:color w:val="auto"/>
              </w:rPr>
            </w:pPr>
          </w:p>
        </w:tc>
      </w:tr>
      <w:tr>
        <w:trPr>
          <w:trHeight w:val="189"/>
        </w:trPr>
        <w:tc>
          <w:tcPr>
            <w:tcW w:w="6360" w:type="dxa"/>
            <w:vAlign w:val="bottom"/>
          </w:tcPr>
          <w:p>
            <w:pPr>
              <w:ind w:left="140"/>
              <w:spacing w:after="0"/>
              <w:rPr>
                <w:sz w:val="20"/>
                <w:szCs w:val="20"/>
                <w:color w:val="auto"/>
              </w:rPr>
            </w:pPr>
            <w:r>
              <w:rPr>
                <w:rFonts w:ascii="Arial" w:cs="Arial" w:eastAsia="Arial" w:hAnsi="Arial"/>
                <w:sz w:val="16"/>
                <w:szCs w:val="16"/>
                <w:color w:val="auto"/>
              </w:rPr>
              <w:t>Finance lease obligations</w:t>
            </w:r>
          </w:p>
        </w:tc>
        <w:tc>
          <w:tcPr>
            <w:tcW w:w="1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6,170</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6,709</w:t>
            </w:r>
          </w:p>
        </w:tc>
      </w:tr>
      <w:tr>
        <w:trPr>
          <w:trHeight w:val="183"/>
        </w:trPr>
        <w:tc>
          <w:tcPr>
            <w:tcW w:w="6360" w:type="dxa"/>
            <w:vAlign w:val="bottom"/>
            <w:tcBorders>
              <w:bottom w:val="single" w:sz="8" w:color="CCEDFF"/>
            </w:tcBorders>
            <w:shd w:val="clear" w:color="auto" w:fill="CCEDFF"/>
          </w:tcPr>
          <w:p>
            <w:pPr>
              <w:ind w:left="280"/>
              <w:spacing w:after="0" w:line="183" w:lineRule="exact"/>
              <w:rPr>
                <w:sz w:val="20"/>
                <w:szCs w:val="20"/>
                <w:color w:val="auto"/>
              </w:rPr>
            </w:pPr>
            <w:r>
              <w:rPr>
                <w:rFonts w:ascii="Arial" w:cs="Arial" w:eastAsia="Arial" w:hAnsi="Arial"/>
                <w:sz w:val="16"/>
                <w:szCs w:val="16"/>
                <w:color w:val="auto"/>
              </w:rPr>
              <w:t>Total current portion of long-term debt and finance lease obligations</w:t>
            </w:r>
          </w:p>
        </w:tc>
        <w:tc>
          <w:tcPr>
            <w:tcW w:w="1220" w:type="dxa"/>
            <w:vAlign w:val="bottom"/>
            <w:tcBorders>
              <w:bottom w:val="single" w:sz="8" w:color="CCEDFF"/>
            </w:tcBorders>
            <w:shd w:val="clear" w:color="auto" w:fill="CCEDFF"/>
          </w:tcPr>
          <w:p>
            <w:pPr>
              <w:spacing w:after="0"/>
              <w:rPr>
                <w:sz w:val="15"/>
                <w:szCs w:val="15"/>
                <w:color w:val="auto"/>
              </w:rPr>
            </w:pPr>
          </w:p>
        </w:tc>
        <w:tc>
          <w:tcPr>
            <w:tcW w:w="260" w:type="dxa"/>
            <w:vAlign w:val="bottom"/>
            <w:tcBorders>
              <w:bottom w:val="single" w:sz="8" w:color="auto"/>
            </w:tcBorders>
            <w:shd w:val="clear" w:color="auto" w:fill="CCEDFF"/>
          </w:tcPr>
          <w:p>
            <w:pPr>
              <w:spacing w:after="0"/>
              <w:rPr>
                <w:sz w:val="15"/>
                <w:szCs w:val="15"/>
                <w:color w:val="auto"/>
              </w:rPr>
            </w:pPr>
          </w:p>
        </w:tc>
        <w:tc>
          <w:tcPr>
            <w:tcW w:w="150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6,170</w:t>
            </w:r>
          </w:p>
        </w:tc>
        <w:tc>
          <w:tcPr>
            <w:tcW w:w="180" w:type="dxa"/>
            <w:vAlign w:val="bottom"/>
            <w:tcBorders>
              <w:bottom w:val="single" w:sz="8" w:color="CCEDFF"/>
            </w:tcBorders>
            <w:shd w:val="clear" w:color="auto" w:fill="CCEDFF"/>
          </w:tcPr>
          <w:p>
            <w:pPr>
              <w:spacing w:after="0"/>
              <w:rPr>
                <w:sz w:val="15"/>
                <w:szCs w:val="15"/>
                <w:color w:val="auto"/>
              </w:rPr>
            </w:pPr>
          </w:p>
        </w:tc>
        <w:tc>
          <w:tcPr>
            <w:tcW w:w="180" w:type="dxa"/>
            <w:vAlign w:val="bottom"/>
            <w:tcBorders>
              <w:bottom w:val="single" w:sz="8" w:color="auto"/>
            </w:tcBorders>
            <w:shd w:val="clear" w:color="auto" w:fill="CCEDFF"/>
          </w:tcPr>
          <w:p>
            <w:pPr>
              <w:spacing w:after="0"/>
              <w:rPr>
                <w:sz w:val="15"/>
                <w:szCs w:val="15"/>
                <w:color w:val="auto"/>
              </w:rPr>
            </w:pPr>
          </w:p>
        </w:tc>
        <w:tc>
          <w:tcPr>
            <w:tcW w:w="154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6,709</w:t>
            </w:r>
          </w:p>
        </w:tc>
      </w:tr>
      <w:tr>
        <w:trPr>
          <w:trHeight w:val="183"/>
        </w:trPr>
        <w:tc>
          <w:tcPr>
            <w:tcW w:w="6360" w:type="dxa"/>
            <w:vAlign w:val="bottom"/>
          </w:tcPr>
          <w:p>
            <w:pPr>
              <w:spacing w:after="0" w:line="183" w:lineRule="exact"/>
              <w:rPr>
                <w:sz w:val="20"/>
                <w:szCs w:val="20"/>
                <w:color w:val="auto"/>
              </w:rPr>
            </w:pPr>
            <w:r>
              <w:rPr>
                <w:rFonts w:ascii="Arial" w:cs="Arial" w:eastAsia="Arial" w:hAnsi="Arial"/>
                <w:sz w:val="16"/>
                <w:szCs w:val="16"/>
                <w:b w:val="1"/>
                <w:bCs w:val="1"/>
                <w:color w:val="auto"/>
              </w:rPr>
              <w:t>Long-term debt and finance lease obligations:</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9"/>
        </w:trPr>
        <w:tc>
          <w:tcPr>
            <w:tcW w:w="6360" w:type="dxa"/>
            <w:vAlign w:val="bottom"/>
            <w:tcBorders>
              <w:bottom w:val="single" w:sz="8" w:color="CCEDFF"/>
            </w:tcBorders>
            <w:shd w:val="clear" w:color="auto" w:fill="CCEDFF"/>
          </w:tcPr>
          <w:p>
            <w:pPr>
              <w:ind w:left="140"/>
              <w:spacing w:after="0"/>
              <w:rPr>
                <w:sz w:val="20"/>
                <w:szCs w:val="20"/>
                <w:color w:val="auto"/>
              </w:rPr>
            </w:pPr>
            <w:r>
              <w:rPr>
                <w:rFonts w:ascii="Arial" w:cs="Arial" w:eastAsia="Arial" w:hAnsi="Arial"/>
                <w:sz w:val="16"/>
                <w:szCs w:val="16"/>
                <w:color w:val="auto"/>
              </w:rPr>
              <w:t>Finance lease obligations</w:t>
            </w:r>
          </w:p>
        </w:tc>
        <w:tc>
          <w:tcPr>
            <w:tcW w:w="12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50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18,042</w:t>
            </w:r>
          </w:p>
        </w:tc>
        <w:tc>
          <w:tcPr>
            <w:tcW w:w="180" w:type="dxa"/>
            <w:vAlign w:val="bottom"/>
            <w:tcBorders>
              <w:bottom w:val="single" w:sz="8" w:color="CCEDFF"/>
            </w:tcBorders>
            <w:shd w:val="clear" w:color="auto" w:fill="CCEDFF"/>
          </w:tcPr>
          <w:p>
            <w:pPr>
              <w:spacing w:after="0"/>
              <w:rPr>
                <w:sz w:val="16"/>
                <w:szCs w:val="16"/>
                <w:color w:val="auto"/>
              </w:rPr>
            </w:pPr>
          </w:p>
        </w:tc>
        <w:tc>
          <w:tcPr>
            <w:tcW w:w="180" w:type="dxa"/>
            <w:vAlign w:val="bottom"/>
            <w:tcBorders>
              <w:bottom w:val="single" w:sz="8" w:color="auto"/>
            </w:tcBorders>
            <w:shd w:val="clear" w:color="auto" w:fill="CCEDFF"/>
          </w:tcPr>
          <w:p>
            <w:pPr>
              <w:spacing w:after="0"/>
              <w:rPr>
                <w:sz w:val="16"/>
                <w:szCs w:val="16"/>
                <w:color w:val="auto"/>
              </w:rPr>
            </w:pPr>
          </w:p>
        </w:tc>
        <w:tc>
          <w:tcPr>
            <w:tcW w:w="15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18,922</w:t>
            </w:r>
          </w:p>
        </w:tc>
      </w:tr>
      <w:tr>
        <w:trPr>
          <w:trHeight w:val="183"/>
        </w:trPr>
        <w:tc>
          <w:tcPr>
            <w:tcW w:w="6360" w:type="dxa"/>
            <w:vAlign w:val="bottom"/>
          </w:tcPr>
          <w:p>
            <w:pPr>
              <w:ind w:left="280"/>
              <w:spacing w:after="0" w:line="183" w:lineRule="exact"/>
              <w:rPr>
                <w:sz w:val="20"/>
                <w:szCs w:val="20"/>
                <w:color w:val="auto"/>
              </w:rPr>
            </w:pPr>
            <w:r>
              <w:rPr>
                <w:rFonts w:ascii="Arial" w:cs="Arial" w:eastAsia="Arial" w:hAnsi="Arial"/>
                <w:sz w:val="16"/>
                <w:szCs w:val="16"/>
                <w:color w:val="auto"/>
              </w:rPr>
              <w:t>Total long-term portion of debt and finance lease obligations</w:t>
            </w:r>
          </w:p>
        </w:tc>
        <w:tc>
          <w:tcPr>
            <w:tcW w:w="1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18,042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18,922</w:t>
            </w:r>
          </w:p>
        </w:tc>
      </w:tr>
      <w:tr>
        <w:trPr>
          <w:trHeight w:val="203"/>
        </w:trPr>
        <w:tc>
          <w:tcPr>
            <w:tcW w:w="636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Total debt and finance lease obligations</w:t>
            </w:r>
          </w:p>
        </w:tc>
        <w:tc>
          <w:tcPr>
            <w:tcW w:w="1220" w:type="dxa"/>
            <w:vAlign w:val="bottom"/>
            <w:shd w:val="clear" w:color="auto" w:fill="CCEDFF"/>
          </w:tcPr>
          <w:p>
            <w:pPr>
              <w:spacing w:after="0"/>
              <w:rPr>
                <w:sz w:val="17"/>
                <w:szCs w:val="17"/>
                <w:color w:val="auto"/>
              </w:rPr>
            </w:pPr>
          </w:p>
        </w:tc>
        <w:tc>
          <w:tcPr>
            <w:tcW w:w="260" w:type="dxa"/>
            <w:vAlign w:val="bottom"/>
            <w:shd w:val="clear" w:color="auto" w:fill="CCED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24,212</w:t>
            </w:r>
          </w:p>
        </w:tc>
        <w:tc>
          <w:tcPr>
            <w:tcW w:w="360" w:type="dxa"/>
            <w:vAlign w:val="bottom"/>
            <w:gridSpan w:val="2"/>
            <w:shd w:val="clear" w:color="auto" w:fill="CCED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25,631</w:t>
            </w:r>
          </w:p>
        </w:tc>
      </w:tr>
      <w:tr>
        <w:trPr>
          <w:trHeight w:val="20"/>
        </w:trPr>
        <w:tc>
          <w:tcPr>
            <w:tcW w:w="6360" w:type="dxa"/>
            <w:vAlign w:val="bottom"/>
            <w:tcBorders>
              <w:top w:val="single" w:sz="8" w:color="CCEDFF"/>
            </w:tcBorders>
            <w:shd w:val="clear" w:color="auto" w:fill="CCEDFF"/>
          </w:tcPr>
          <w:p>
            <w:pPr>
              <w:spacing w:after="0" w:line="20" w:lineRule="exact"/>
              <w:rPr>
                <w:sz w:val="1"/>
                <w:szCs w:val="1"/>
                <w:color w:val="auto"/>
              </w:rPr>
            </w:pPr>
          </w:p>
        </w:tc>
        <w:tc>
          <w:tcPr>
            <w:tcW w:w="1220" w:type="dxa"/>
            <w:vAlign w:val="bottom"/>
            <w:tcBorders>
              <w:top w:val="single" w:sz="8" w:color="CCEDFF"/>
            </w:tcBorders>
            <w:shd w:val="clear" w:color="auto" w:fill="CCED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DFF"/>
            </w:tcBorders>
            <w:shd w:val="clear" w:color="auto" w:fill="CCED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-530860</wp:posOffset>
            </wp:positionV>
            <wp:extent cx="111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-281940</wp:posOffset>
            </wp:positionV>
            <wp:extent cx="1111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111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11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06" w:lineRule="exact"/>
        <w:rPr>
          <w:sz w:val="20"/>
          <w:szCs w:val="20"/>
          <w:color w:val="auto"/>
        </w:rPr>
      </w:pPr>
    </w:p>
    <w:p>
      <w:pPr>
        <w:ind w:right="880"/>
        <w:spacing w:after="0" w:line="406" w:lineRule="auto"/>
        <w:rPr>
          <w:sz w:val="20"/>
          <w:szCs w:val="20"/>
          <w:color w:val="auto"/>
        </w:rPr>
      </w:pPr>
      <w:r>
        <w:rPr>
          <w:rFonts w:ascii="Arial" w:cs="Arial" w:eastAsia="Arial" w:hAnsi="Arial"/>
          <w:sz w:val="17"/>
          <w:szCs w:val="17"/>
          <w:color w:val="auto"/>
        </w:rPr>
        <w:t xml:space="preserve">As of March 31, 2026 and December 31, 2025, we had no borrowings outstanding under the Revolving Credit Facility (as defined below). </w:t>
      </w:r>
      <w:r>
        <w:rPr>
          <w:rFonts w:ascii="Arial" w:cs="Arial" w:eastAsia="Arial" w:hAnsi="Arial"/>
          <w:sz w:val="17"/>
          <w:szCs w:val="17"/>
          <w:b w:val="1"/>
          <w:bCs w:val="1"/>
          <w:i w:val="1"/>
          <w:iCs w:val="1"/>
          <w:color w:val="auto"/>
        </w:rPr>
        <w:t>Revolving Credit Facility</w:t>
      </w:r>
    </w:p>
    <w:p>
      <w:pPr>
        <w:jc w:val="both"/>
        <w:spacing w:after="0" w:line="235" w:lineRule="auto"/>
        <w:rPr>
          <w:sz w:val="20"/>
          <w:szCs w:val="20"/>
          <w:color w:val="auto"/>
        </w:rPr>
      </w:pPr>
      <w:r>
        <w:rPr>
          <w:rFonts w:ascii="Arial" w:cs="Arial" w:eastAsia="Arial" w:hAnsi="Arial"/>
          <w:sz w:val="17"/>
          <w:szCs w:val="17"/>
          <w:color w:val="auto"/>
        </w:rPr>
        <w:t xml:space="preserve">On February 27, 2025, we entered into the Third Amended and Restated Revolving Credit, Guaranty and Security Agreement (the “Credit Agreement”), dated as of February 27, 2025, with PNC Bank, National Association (“PNC”) as the agent, to replace the Second Amended and Restated Revolving Credit, Guaranty and Security Agreement and provide for and govern a revolving credit facility (the “Revolving Credit Facility”). The Credit Agreement, among other things, (i) extended the maturity of the agreement from June 2026 to February 2030, (ii) increased the maximum revolving amount from $110 million to $200 million, which may, subject to certain conditions, be increased to $250 million, (iii) eliminated the term loan commitment and (iv) provided for an applicable margin for interest on the loans to be based on availability, effective as of April 1, 2025. The applicable margin under the Credit Agreement will range from 0.50% to 1.00% for swing loans and alternate base rate revolving loans and 1.50% to 2.00% for term SOFR revolving loans. </w:t>
      </w:r>
      <w:r>
        <w:rPr>
          <w:rFonts w:ascii="Arial" w:cs="Arial" w:eastAsia="Arial" w:hAnsi="Arial"/>
          <w:sz w:val="17"/>
          <w:szCs w:val="17"/>
          <w:color w:val="231F20"/>
        </w:rPr>
        <w:t>The Company is subject to various covenants under the Credit Agreement, including limitations on</w:t>
      </w:r>
      <w:r>
        <w:rPr>
          <w:rFonts w:ascii="Arial" w:cs="Arial" w:eastAsia="Arial" w:hAnsi="Arial"/>
          <w:sz w:val="17"/>
          <w:szCs w:val="17"/>
          <w:color w:val="auto"/>
        </w:rPr>
        <w:t xml:space="preserve"> </w:t>
      </w:r>
      <w:r>
        <w:rPr>
          <w:rFonts w:ascii="Arial" w:cs="Arial" w:eastAsia="Arial" w:hAnsi="Arial"/>
          <w:sz w:val="17"/>
          <w:szCs w:val="17"/>
          <w:color w:val="231F20"/>
        </w:rPr>
        <w:t xml:space="preserve">the incurrence of debt, granting of liens, investments, dividends, asset sales, and affiliate transactions. Additionally, if at any time an Event of Default (as defined in the Credit Agreement) has occurred and is continuing or if Excess Availability (as defined in the Credit Agreement) is less than 20%, we must maintain a fixed charge coverage ratio of not less than 1.10 to 1.00. </w:t>
      </w:r>
      <w:r>
        <w:rPr>
          <w:rFonts w:ascii="Arial" w:cs="Arial" w:eastAsia="Arial" w:hAnsi="Arial"/>
          <w:sz w:val="17"/>
          <w:szCs w:val="17"/>
          <w:color w:val="000000"/>
        </w:rPr>
        <w:t>As defined by the Credit Agreement, the fixed charge coverage ratio</w:t>
      </w:r>
      <w:r>
        <w:rPr>
          <w:rFonts w:ascii="Arial" w:cs="Arial" w:eastAsia="Arial" w:hAnsi="Arial"/>
          <w:sz w:val="17"/>
          <w:szCs w:val="17"/>
          <w:color w:val="231F20"/>
        </w:rPr>
        <w:t xml:space="preserve"> </w:t>
      </w:r>
      <w:r>
        <w:rPr>
          <w:rFonts w:ascii="Arial" w:cs="Arial" w:eastAsia="Arial" w:hAnsi="Arial"/>
          <w:sz w:val="17"/>
          <w:szCs w:val="17"/>
          <w:color w:val="000000"/>
        </w:rPr>
        <w:t>represents the ratio of Adjusted EBITDA (as defined in the Credit Agreement), less certain capital expenditures, dividends, and tax payments, to all scheduled debt payments during the applicable period.</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 xml:space="preserve">We performed a debt modification analysis in accordance with </w:t>
      </w:r>
      <w:r>
        <w:rPr>
          <w:rFonts w:ascii="Arial" w:cs="Arial" w:eastAsia="Arial" w:hAnsi="Arial"/>
          <w:sz w:val="17"/>
          <w:szCs w:val="17"/>
          <w:i w:val="1"/>
          <w:iCs w:val="1"/>
          <w:color w:val="auto"/>
        </w:rPr>
        <w:t>Accounting Standards Codification Topic 470, Debt (“ASC 470”),</w:t>
      </w:r>
      <w:r>
        <w:rPr>
          <w:rFonts w:ascii="Arial" w:cs="Arial" w:eastAsia="Arial" w:hAnsi="Arial"/>
          <w:sz w:val="17"/>
          <w:szCs w:val="17"/>
          <w:color w:val="auto"/>
        </w:rPr>
        <w:t xml:space="preserve"> and concluded that the elimination of the term loan represented a debt extinguishment. We recognized a loss in February 2025 due to the write-down of the remaining debt issuance costs pertaining to the term loan of $0.4 million. The debt issuance cost attributable to the Revolving Credit Facility as of March 31, 2026 was $1.1 million and is classified as </w:t>
      </w:r>
      <w:r>
        <w:rPr>
          <w:rFonts w:ascii="Arial" w:cs="Arial" w:eastAsia="Arial" w:hAnsi="Arial"/>
          <w:sz w:val="17"/>
          <w:szCs w:val="17"/>
          <w:i w:val="1"/>
          <w:iCs w:val="1"/>
          <w:color w:val="auto"/>
        </w:rPr>
        <w:t>Other long-term assets</w:t>
      </w:r>
      <w:r>
        <w:rPr>
          <w:rFonts w:ascii="Arial" w:cs="Arial" w:eastAsia="Arial" w:hAnsi="Arial"/>
          <w:sz w:val="17"/>
          <w:szCs w:val="17"/>
          <w:color w:val="auto"/>
        </w:rPr>
        <w:t xml:space="preserve"> in our Condensed Consolidated Balance Sheets at March 31, 2026. We were in compliance with our debt covenants at March 31, 2026 and December 31, 2025.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ACCRUED EXPENSES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 summary of accrued expenses as of March 31, 2026 and December 31, 2025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jc w:val="right"/>
              <w:ind w:right="57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65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5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7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2025</w:t>
            </w:r>
          </w:p>
        </w:tc>
      </w:tr>
      <w:tr>
        <w:trPr>
          <w:trHeight w:val="183"/>
        </w:trPr>
        <w:tc>
          <w:tcPr>
            <w:tcW w:w="65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Payroll and other compensation expenses</w:t>
            </w:r>
          </w:p>
        </w:tc>
        <w:tc>
          <w:tcPr>
            <w:tcW w:w="1540" w:type="dxa"/>
            <w:vAlign w:val="bottom"/>
            <w:shd w:val="clear" w:color="auto" w:fill="CCEDFF"/>
          </w:tcPr>
          <w:p>
            <w:pPr>
              <w:jc w:val="right"/>
              <w:ind w:right="135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19,073</w:t>
            </w:r>
          </w:p>
        </w:tc>
        <w:tc>
          <w:tcPr>
            <w:tcW w:w="560" w:type="dxa"/>
            <w:vAlign w:val="bottom"/>
            <w:gridSpan w:val="2"/>
            <w:shd w:val="clear" w:color="auto" w:fill="CCEDFF"/>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9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28,555</w:t>
            </w:r>
          </w:p>
        </w:tc>
      </w:tr>
      <w:tr>
        <w:trPr>
          <w:trHeight w:val="189"/>
        </w:trPr>
        <w:tc>
          <w:tcPr>
            <w:tcW w:w="6500" w:type="dxa"/>
            <w:vAlign w:val="bottom"/>
          </w:tcPr>
          <w:p>
            <w:pPr>
              <w:spacing w:after="0"/>
              <w:rPr>
                <w:sz w:val="20"/>
                <w:szCs w:val="20"/>
                <w:color w:val="auto"/>
              </w:rPr>
            </w:pPr>
            <w:r>
              <w:rPr>
                <w:rFonts w:ascii="Arial" w:cs="Arial" w:eastAsia="Arial" w:hAnsi="Arial"/>
                <w:sz w:val="16"/>
                <w:szCs w:val="16"/>
                <w:color w:val="auto"/>
              </w:rPr>
              <w:t>Property, sales and other non-income related taxes</w:t>
            </w:r>
          </w:p>
        </w:tc>
        <w:tc>
          <w:tcPr>
            <w:tcW w:w="154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6,314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9,316</w:t>
            </w:r>
          </w:p>
        </w:tc>
      </w:tr>
      <w:tr>
        <w:trPr>
          <w:trHeight w:val="189"/>
        </w:trPr>
        <w:tc>
          <w:tcPr>
            <w:tcW w:w="6500" w:type="dxa"/>
            <w:vAlign w:val="bottom"/>
            <w:shd w:val="clear" w:color="auto" w:fill="CCEDFF"/>
          </w:tcPr>
          <w:p>
            <w:pPr>
              <w:spacing w:after="0"/>
              <w:rPr>
                <w:sz w:val="20"/>
                <w:szCs w:val="20"/>
                <w:color w:val="auto"/>
              </w:rPr>
            </w:pPr>
            <w:r>
              <w:rPr>
                <w:rFonts w:ascii="Arial" w:cs="Arial" w:eastAsia="Arial" w:hAnsi="Arial"/>
                <w:sz w:val="16"/>
                <w:szCs w:val="16"/>
                <w:color w:val="auto"/>
              </w:rPr>
              <w:t>Accrued commission</w:t>
            </w:r>
          </w:p>
        </w:tc>
        <w:tc>
          <w:tcPr>
            <w:tcW w:w="1540" w:type="dxa"/>
            <w:vAlign w:val="bottom"/>
            <w:shd w:val="clear" w:color="auto" w:fill="CCEDFF"/>
          </w:tcPr>
          <w:p>
            <w:pPr>
              <w:spacing w:after="0"/>
              <w:rPr>
                <w:sz w:val="16"/>
                <w:szCs w:val="16"/>
                <w:color w:val="auto"/>
              </w:rPr>
            </w:pPr>
          </w:p>
        </w:tc>
        <w:tc>
          <w:tcPr>
            <w:tcW w:w="7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1,101</w:t>
            </w:r>
          </w:p>
        </w:tc>
        <w:tc>
          <w:tcPr>
            <w:tcW w:w="24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9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1,153</w:t>
            </w:r>
          </w:p>
        </w:tc>
      </w:tr>
      <w:tr>
        <w:trPr>
          <w:trHeight w:val="189"/>
        </w:trPr>
        <w:tc>
          <w:tcPr>
            <w:tcW w:w="6500" w:type="dxa"/>
            <w:vAlign w:val="bottom"/>
          </w:tcPr>
          <w:p>
            <w:pPr>
              <w:spacing w:after="0"/>
              <w:rPr>
                <w:sz w:val="20"/>
                <w:szCs w:val="20"/>
                <w:color w:val="auto"/>
              </w:rPr>
            </w:pPr>
            <w:r>
              <w:rPr>
                <w:rFonts w:ascii="Arial" w:cs="Arial" w:eastAsia="Arial" w:hAnsi="Arial"/>
                <w:sz w:val="16"/>
                <w:szCs w:val="16"/>
                <w:color w:val="auto"/>
              </w:rPr>
              <w:t>Income taxes</w:t>
            </w:r>
          </w:p>
        </w:tc>
        <w:tc>
          <w:tcPr>
            <w:tcW w:w="154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669</w:t>
            </w:r>
          </w:p>
        </w:tc>
      </w:tr>
      <w:tr>
        <w:trPr>
          <w:trHeight w:val="189"/>
        </w:trPr>
        <w:tc>
          <w:tcPr>
            <w:tcW w:w="650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Other accrued liabilities</w:t>
            </w:r>
          </w:p>
        </w:tc>
        <w:tc>
          <w:tcPr>
            <w:tcW w:w="1540" w:type="dxa"/>
            <w:vAlign w:val="bottom"/>
            <w:tcBorders>
              <w:bottom w:val="single" w:sz="8" w:color="auto"/>
            </w:tcBorders>
            <w:shd w:val="clear" w:color="auto" w:fill="CCEDFF"/>
          </w:tcPr>
          <w:p>
            <w:pPr>
              <w:spacing w:after="0"/>
              <w:rPr>
                <w:sz w:val="16"/>
                <w:szCs w:val="16"/>
                <w:color w:val="auto"/>
              </w:rPr>
            </w:pPr>
          </w:p>
        </w:tc>
        <w:tc>
          <w:tcPr>
            <w:tcW w:w="70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8,744</w:t>
            </w:r>
          </w:p>
        </w:tc>
        <w:tc>
          <w:tcPr>
            <w:tcW w:w="240" w:type="dxa"/>
            <w:vAlign w:val="bottom"/>
            <w:tcBorders>
              <w:bottom w:val="single" w:sz="8" w:color="CCEDFF"/>
            </w:tcBorders>
            <w:shd w:val="clear" w:color="auto" w:fill="CCEDFF"/>
          </w:tcPr>
          <w:p>
            <w:pPr>
              <w:spacing w:after="0"/>
              <w:rPr>
                <w:sz w:val="16"/>
                <w:szCs w:val="16"/>
                <w:color w:val="auto"/>
              </w:rPr>
            </w:pPr>
          </w:p>
        </w:tc>
        <w:tc>
          <w:tcPr>
            <w:tcW w:w="320" w:type="dxa"/>
            <w:vAlign w:val="bottom"/>
            <w:tcBorders>
              <w:bottom w:val="single" w:sz="8" w:color="auto"/>
            </w:tcBorders>
            <w:shd w:val="clear" w:color="auto" w:fill="CCEDFF"/>
          </w:tcPr>
          <w:p>
            <w:pPr>
              <w:spacing w:after="0"/>
              <w:rPr>
                <w:sz w:val="16"/>
                <w:szCs w:val="16"/>
                <w:color w:val="auto"/>
              </w:rPr>
            </w:pPr>
          </w:p>
        </w:tc>
        <w:tc>
          <w:tcPr>
            <w:tcW w:w="19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9,455</w:t>
            </w:r>
          </w:p>
        </w:tc>
      </w:tr>
      <w:tr>
        <w:trPr>
          <w:trHeight w:val="182"/>
        </w:trPr>
        <w:tc>
          <w:tcPr>
            <w:tcW w:w="650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1540" w:type="dxa"/>
            <w:vAlign w:val="bottom"/>
          </w:tcPr>
          <w:p>
            <w:pPr>
              <w:jc w:val="right"/>
              <w:ind w:right="135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35,232</w:t>
            </w:r>
          </w:p>
        </w:tc>
        <w:tc>
          <w:tcPr>
            <w:tcW w:w="5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49,148</w:t>
            </w:r>
          </w:p>
        </w:tc>
      </w:tr>
      <w:tr>
        <w:trPr>
          <w:trHeight w:val="20"/>
        </w:trPr>
        <w:tc>
          <w:tcPr>
            <w:tcW w:w="65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-153670</wp:posOffset>
            </wp:positionV>
            <wp:extent cx="1543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INCOME TAXES</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effective tax rate for the three months ended March 31, 2026 was 22.8% compared to 30.9% for the same period in 2025. The change in the effective tax rate between the periods was primarily due to the discrete items recorded in the respective periods along with the change in projected earnings mix by geography and tax jurisdiction, foreign withholding tax, and changes in non-deductible expenses.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5" w:name="page16"/>
    <w:bookmarkEnd w:id="15"/>
    <w:p>
      <w:pPr>
        <w:jc w:val="both"/>
        <w:spacing w:after="0" w:line="244" w:lineRule="auto"/>
        <w:rPr>
          <w:sz w:val="20"/>
          <w:szCs w:val="20"/>
          <w:color w:val="auto"/>
        </w:rPr>
      </w:pPr>
      <w:r>
        <w:rPr>
          <w:rFonts w:ascii="Arial" w:cs="Arial" w:eastAsia="Arial" w:hAnsi="Arial"/>
          <w:sz w:val="17"/>
          <w:szCs w:val="17"/>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continuing to assess its impact on our Condensed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EARNINGS (LOSS) PER SHARE</w:t>
      </w:r>
    </w:p>
    <w:p>
      <w:pPr>
        <w:spacing w:after="0" w:line="12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Basic earnings per share of Company Common Stock is calculated by dividing the net income attributable to the Company during the period by the weighted average number of shares of Company Common Stock outstanding during the same period. Diluted earnings per share, if dilutive, includes the incremental effect of issuable shares from stock awards, as determined using the treasury stock method. For diluted net loss per share, the weighted-average number of shares of Company Common Stock is the same for basic net loss per share due to the fact that when a net loss exists, potentially dilutive securities are not included in the calculation when the impact is anti-dilutive.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basic and diluted earnings per share calculations (in thousands, except share and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r>
      <w:tr>
        <w:trPr>
          <w:trHeight w:val="203"/>
        </w:trPr>
        <w:tc>
          <w:tcPr>
            <w:tcW w:w="5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March 31,</w:t>
            </w:r>
          </w:p>
        </w:tc>
        <w:tc>
          <w:tcPr>
            <w:tcW w:w="1260" w:type="dxa"/>
            <w:vAlign w:val="bottom"/>
            <w:tcBorders>
              <w:bottom w:val="single" w:sz="8" w:color="auto"/>
            </w:tcBorders>
          </w:tcPr>
          <w:p>
            <w:pPr>
              <w:spacing w:after="0"/>
              <w:rPr>
                <w:sz w:val="17"/>
                <w:szCs w:val="17"/>
                <w:color w:val="auto"/>
              </w:rPr>
            </w:pPr>
          </w:p>
        </w:tc>
      </w:tr>
      <w:tr>
        <w:trPr>
          <w:trHeight w:val="183"/>
        </w:trPr>
        <w:tc>
          <w:tcPr>
            <w:tcW w:w="5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590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Numerator:</w:t>
            </w:r>
          </w:p>
        </w:tc>
        <w:tc>
          <w:tcPr>
            <w:tcW w:w="1840" w:type="dxa"/>
            <w:vAlign w:val="bottom"/>
            <w:shd w:val="clear" w:color="auto" w:fill="CCEDFF"/>
          </w:tcPr>
          <w:p>
            <w:pPr>
              <w:spacing w:after="0"/>
              <w:rPr>
                <w:sz w:val="15"/>
                <w:szCs w:val="15"/>
                <w:color w:val="auto"/>
              </w:rPr>
            </w:pPr>
          </w:p>
        </w:tc>
        <w:tc>
          <w:tcPr>
            <w:tcW w:w="340" w:type="dxa"/>
            <w:vAlign w:val="bottom"/>
            <w:shd w:val="clear" w:color="auto" w:fill="CCEDFF"/>
          </w:tcPr>
          <w:p>
            <w:pPr>
              <w:spacing w:after="0"/>
              <w:rPr>
                <w:sz w:val="15"/>
                <w:szCs w:val="15"/>
                <w:color w:val="auto"/>
              </w:rPr>
            </w:pPr>
          </w:p>
        </w:tc>
        <w:tc>
          <w:tcPr>
            <w:tcW w:w="132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400" w:type="dxa"/>
            <w:vAlign w:val="bottom"/>
            <w:shd w:val="clear" w:color="auto" w:fill="CCEDFF"/>
          </w:tcPr>
          <w:p>
            <w:pPr>
              <w:spacing w:after="0"/>
              <w:rPr>
                <w:sz w:val="15"/>
                <w:szCs w:val="15"/>
                <w:color w:val="auto"/>
              </w:rPr>
            </w:pPr>
          </w:p>
        </w:tc>
        <w:tc>
          <w:tcPr>
            <w:tcW w:w="1260" w:type="dxa"/>
            <w:vAlign w:val="bottom"/>
            <w:shd w:val="clear" w:color="auto" w:fill="CCEDFF"/>
          </w:tcPr>
          <w:p>
            <w:pPr>
              <w:spacing w:after="0"/>
              <w:rPr>
                <w:sz w:val="15"/>
                <w:szCs w:val="15"/>
                <w:color w:val="auto"/>
              </w:rPr>
            </w:pPr>
          </w:p>
        </w:tc>
      </w:tr>
      <w:tr>
        <w:trPr>
          <w:trHeight w:val="189"/>
        </w:trPr>
        <w:tc>
          <w:tcPr>
            <w:tcW w:w="590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2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(16,671)</w:t>
            </w:r>
          </w:p>
        </w:tc>
        <w:tc>
          <w:tcPr>
            <w:tcW w:w="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14,757</w:t>
            </w:r>
          </w:p>
        </w:tc>
      </w:tr>
      <w:tr>
        <w:trPr>
          <w:trHeight w:val="189"/>
        </w:trPr>
        <w:tc>
          <w:tcPr>
            <w:tcW w:w="5900" w:type="dxa"/>
            <w:vAlign w:val="bottom"/>
            <w:shd w:val="clear" w:color="auto" w:fill="CCEDFF"/>
          </w:tcPr>
          <w:p>
            <w:pPr>
              <w:spacing w:after="0"/>
              <w:rPr>
                <w:sz w:val="20"/>
                <w:szCs w:val="20"/>
                <w:color w:val="auto"/>
              </w:rPr>
            </w:pPr>
            <w:r>
              <w:rPr>
                <w:rFonts w:ascii="Arial" w:cs="Arial" w:eastAsia="Arial" w:hAnsi="Arial"/>
                <w:sz w:val="16"/>
                <w:szCs w:val="16"/>
                <w:b w:val="1"/>
                <w:bCs w:val="1"/>
                <w:color w:val="auto"/>
              </w:rPr>
              <w:t>Denominator:</w:t>
            </w:r>
          </w:p>
        </w:tc>
        <w:tc>
          <w:tcPr>
            <w:tcW w:w="1840" w:type="dxa"/>
            <w:vAlign w:val="bottom"/>
            <w:shd w:val="clear" w:color="auto" w:fill="CCEDFF"/>
          </w:tcPr>
          <w:p>
            <w:pPr>
              <w:spacing w:after="0"/>
              <w:rPr>
                <w:sz w:val="16"/>
                <w:szCs w:val="16"/>
                <w:color w:val="auto"/>
              </w:rPr>
            </w:pPr>
          </w:p>
        </w:tc>
        <w:tc>
          <w:tcPr>
            <w:tcW w:w="340" w:type="dxa"/>
            <w:vAlign w:val="bottom"/>
            <w:shd w:val="clear" w:color="auto" w:fill="CCEDFF"/>
          </w:tcPr>
          <w:p>
            <w:pPr>
              <w:spacing w:after="0"/>
              <w:rPr>
                <w:sz w:val="16"/>
                <w:szCs w:val="16"/>
                <w:color w:val="auto"/>
              </w:rPr>
            </w:pPr>
          </w:p>
        </w:tc>
        <w:tc>
          <w:tcPr>
            <w:tcW w:w="132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400" w:type="dxa"/>
            <w:vAlign w:val="bottom"/>
            <w:shd w:val="clear" w:color="auto" w:fill="CCEDFF"/>
          </w:tcPr>
          <w:p>
            <w:pPr>
              <w:spacing w:after="0"/>
              <w:rPr>
                <w:sz w:val="16"/>
                <w:szCs w:val="16"/>
                <w:color w:val="auto"/>
              </w:rPr>
            </w:pPr>
          </w:p>
        </w:tc>
        <w:tc>
          <w:tcPr>
            <w:tcW w:w="1260" w:type="dxa"/>
            <w:vAlign w:val="bottom"/>
            <w:shd w:val="clear" w:color="auto" w:fill="CCEDFF"/>
          </w:tcPr>
          <w:p>
            <w:pPr>
              <w:spacing w:after="0"/>
              <w:rPr>
                <w:sz w:val="16"/>
                <w:szCs w:val="16"/>
                <w:color w:val="auto"/>
              </w:rPr>
            </w:pPr>
          </w:p>
        </w:tc>
      </w:tr>
      <w:tr>
        <w:trPr>
          <w:trHeight w:val="189"/>
        </w:trPr>
        <w:tc>
          <w:tcPr>
            <w:tcW w:w="5900" w:type="dxa"/>
            <w:vAlign w:val="bottom"/>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1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68,940,260</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69,290,100</w:t>
            </w:r>
          </w:p>
        </w:tc>
      </w:tr>
      <w:tr>
        <w:trPr>
          <w:trHeight w:val="189"/>
        </w:trPr>
        <w:tc>
          <w:tcPr>
            <w:tcW w:w="5900" w:type="dxa"/>
            <w:vAlign w:val="bottom"/>
            <w:tcBorders>
              <w:bottom w:val="single" w:sz="8" w:color="CCEDFF"/>
            </w:tcBorders>
            <w:shd w:val="clear" w:color="auto" w:fill="CCEDFF"/>
          </w:tcPr>
          <w:p>
            <w:pPr>
              <w:ind w:left="140"/>
              <w:spacing w:after="0"/>
              <w:rPr>
                <w:sz w:val="20"/>
                <w:szCs w:val="20"/>
                <w:color w:val="auto"/>
              </w:rPr>
            </w:pPr>
            <w:r>
              <w:rPr>
                <w:rFonts w:ascii="Arial" w:cs="Arial" w:eastAsia="Arial" w:hAnsi="Arial"/>
                <w:sz w:val="16"/>
                <w:szCs w:val="16"/>
                <w:color w:val="auto"/>
              </w:rPr>
              <w:t>Dilutive effect of equity awards</w:t>
            </w:r>
          </w:p>
        </w:tc>
        <w:tc>
          <w:tcPr>
            <w:tcW w:w="1840" w:type="dxa"/>
            <w:vAlign w:val="bottom"/>
            <w:tcBorders>
              <w:bottom w:val="single" w:sz="8" w:color="CCEDFF"/>
            </w:tcBorders>
            <w:shd w:val="clear" w:color="auto" w:fill="CCEDFF"/>
          </w:tcPr>
          <w:p>
            <w:pPr>
              <w:spacing w:after="0"/>
              <w:rPr>
                <w:sz w:val="16"/>
                <w:szCs w:val="16"/>
                <w:color w:val="auto"/>
              </w:rPr>
            </w:pPr>
          </w:p>
        </w:tc>
        <w:tc>
          <w:tcPr>
            <w:tcW w:w="340" w:type="dxa"/>
            <w:vAlign w:val="bottom"/>
            <w:tcBorders>
              <w:bottom w:val="single" w:sz="8" w:color="auto"/>
            </w:tcBorders>
            <w:shd w:val="clear" w:color="auto" w:fill="CCEDFF"/>
          </w:tcPr>
          <w:p>
            <w:pPr>
              <w:spacing w:after="0"/>
              <w:rPr>
                <w:sz w:val="16"/>
                <w:szCs w:val="16"/>
                <w:color w:val="auto"/>
              </w:rPr>
            </w:pPr>
          </w:p>
        </w:tc>
        <w:tc>
          <w:tcPr>
            <w:tcW w:w="13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DFF"/>
            </w:tcBorders>
            <w:shd w:val="clear" w:color="auto" w:fill="CCEDFF"/>
          </w:tcPr>
          <w:p>
            <w:pPr>
              <w:spacing w:after="0"/>
              <w:rPr>
                <w:sz w:val="16"/>
                <w:szCs w:val="16"/>
                <w:color w:val="auto"/>
              </w:rPr>
            </w:pPr>
          </w:p>
        </w:tc>
        <w:tc>
          <w:tcPr>
            <w:tcW w:w="40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187,419</w:t>
            </w:r>
          </w:p>
        </w:tc>
      </w:tr>
      <w:tr>
        <w:trPr>
          <w:trHeight w:val="183"/>
        </w:trPr>
        <w:tc>
          <w:tcPr>
            <w:tcW w:w="5900" w:type="dxa"/>
            <w:vAlign w:val="bottom"/>
          </w:tcPr>
          <w:p>
            <w:pPr>
              <w:ind w:left="140"/>
              <w:spacing w:after="0" w:line="183" w:lineRule="exact"/>
              <w:rPr>
                <w:sz w:val="20"/>
                <w:szCs w:val="20"/>
                <w:color w:val="auto"/>
              </w:rPr>
            </w:pPr>
            <w:r>
              <w:rPr>
                <w:rFonts w:ascii="Arial" w:cs="Arial" w:eastAsia="Arial" w:hAnsi="Arial"/>
                <w:sz w:val="16"/>
                <w:szCs w:val="16"/>
                <w:color w:val="auto"/>
              </w:rPr>
              <w:t>Diluted weighted average number of shares</w:t>
            </w:r>
          </w:p>
        </w:tc>
        <w:tc>
          <w:tcPr>
            <w:tcW w:w="1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68,940,260</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69,477,519</w:t>
            </w:r>
          </w:p>
        </w:tc>
      </w:tr>
      <w:tr>
        <w:trPr>
          <w:trHeight w:val="20"/>
        </w:trPr>
        <w:tc>
          <w:tcPr>
            <w:tcW w:w="5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5900" w:type="dxa"/>
            <w:vAlign w:val="bottom"/>
            <w:shd w:val="clear" w:color="auto" w:fill="CCEDFF"/>
          </w:tcPr>
          <w:p>
            <w:pPr>
              <w:spacing w:after="0" w:line="170" w:lineRule="exact"/>
              <w:rPr>
                <w:sz w:val="20"/>
                <w:szCs w:val="20"/>
                <w:color w:val="auto"/>
              </w:rPr>
            </w:pPr>
            <w:r>
              <w:rPr>
                <w:rFonts w:ascii="Arial" w:cs="Arial" w:eastAsia="Arial" w:hAnsi="Arial"/>
                <w:sz w:val="16"/>
                <w:szCs w:val="16"/>
                <w:b w:val="1"/>
                <w:bCs w:val="1"/>
                <w:color w:val="auto"/>
              </w:rPr>
              <w:t>Income (loss) per share:</w:t>
            </w:r>
          </w:p>
        </w:tc>
        <w:tc>
          <w:tcPr>
            <w:tcW w:w="1840" w:type="dxa"/>
            <w:vAlign w:val="bottom"/>
            <w:shd w:val="clear" w:color="auto" w:fill="CCEDFF"/>
          </w:tcPr>
          <w:p>
            <w:pPr>
              <w:spacing w:after="0"/>
              <w:rPr>
                <w:sz w:val="14"/>
                <w:szCs w:val="14"/>
                <w:color w:val="auto"/>
              </w:rPr>
            </w:pPr>
          </w:p>
        </w:tc>
        <w:tc>
          <w:tcPr>
            <w:tcW w:w="340" w:type="dxa"/>
            <w:vAlign w:val="bottom"/>
            <w:shd w:val="clear" w:color="auto" w:fill="CCEDFF"/>
          </w:tcPr>
          <w:p>
            <w:pPr>
              <w:spacing w:after="0"/>
              <w:rPr>
                <w:sz w:val="14"/>
                <w:szCs w:val="14"/>
                <w:color w:val="auto"/>
              </w:rPr>
            </w:pPr>
          </w:p>
        </w:tc>
        <w:tc>
          <w:tcPr>
            <w:tcW w:w="1320" w:type="dxa"/>
            <w:vAlign w:val="bottom"/>
            <w:shd w:val="clear" w:color="auto" w:fill="CCEDFF"/>
          </w:tcPr>
          <w:p>
            <w:pPr>
              <w:spacing w:after="0"/>
              <w:rPr>
                <w:sz w:val="14"/>
                <w:szCs w:val="14"/>
                <w:color w:val="auto"/>
              </w:rPr>
            </w:pPr>
          </w:p>
        </w:tc>
        <w:tc>
          <w:tcPr>
            <w:tcW w:w="180" w:type="dxa"/>
            <w:vAlign w:val="bottom"/>
            <w:shd w:val="clear" w:color="auto" w:fill="CCEDFF"/>
          </w:tcPr>
          <w:p>
            <w:pPr>
              <w:spacing w:after="0"/>
              <w:rPr>
                <w:sz w:val="14"/>
                <w:szCs w:val="14"/>
                <w:color w:val="auto"/>
              </w:rPr>
            </w:pPr>
          </w:p>
        </w:tc>
        <w:tc>
          <w:tcPr>
            <w:tcW w:w="400" w:type="dxa"/>
            <w:vAlign w:val="bottom"/>
            <w:shd w:val="clear" w:color="auto" w:fill="CCEDFF"/>
          </w:tcPr>
          <w:p>
            <w:pPr>
              <w:spacing w:after="0"/>
              <w:rPr>
                <w:sz w:val="14"/>
                <w:szCs w:val="14"/>
                <w:color w:val="auto"/>
              </w:rPr>
            </w:pPr>
          </w:p>
        </w:tc>
        <w:tc>
          <w:tcPr>
            <w:tcW w:w="1260" w:type="dxa"/>
            <w:vAlign w:val="bottom"/>
            <w:shd w:val="clear" w:color="auto" w:fill="CCEDFF"/>
          </w:tcPr>
          <w:p>
            <w:pPr>
              <w:spacing w:after="0"/>
              <w:rPr>
                <w:sz w:val="14"/>
                <w:szCs w:val="14"/>
                <w:color w:val="auto"/>
              </w:rPr>
            </w:pPr>
          </w:p>
        </w:tc>
      </w:tr>
      <w:tr>
        <w:trPr>
          <w:trHeight w:val="189"/>
        </w:trPr>
        <w:tc>
          <w:tcPr>
            <w:tcW w:w="5900" w:type="dxa"/>
            <w:vAlign w:val="bottom"/>
          </w:tcPr>
          <w:p>
            <w:pPr>
              <w:ind w:left="140"/>
              <w:spacing w:after="0"/>
              <w:rPr>
                <w:sz w:val="20"/>
                <w:szCs w:val="20"/>
                <w:color w:val="auto"/>
              </w:rPr>
            </w:pPr>
            <w:r>
              <w:rPr>
                <w:rFonts w:ascii="Arial" w:cs="Arial" w:eastAsia="Arial" w:hAnsi="Arial"/>
                <w:sz w:val="16"/>
                <w:szCs w:val="16"/>
                <w:color w:val="auto"/>
              </w:rPr>
              <w:t>Basic</w:t>
            </w:r>
          </w:p>
        </w:tc>
        <w:tc>
          <w:tcPr>
            <w:tcW w:w="2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(0.24)</w:t>
            </w:r>
          </w:p>
        </w:tc>
        <w:tc>
          <w:tcPr>
            <w:tcW w:w="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0.21</w:t>
            </w:r>
          </w:p>
        </w:tc>
      </w:tr>
      <w:tr>
        <w:trPr>
          <w:trHeight w:val="20"/>
        </w:trPr>
        <w:tc>
          <w:tcPr>
            <w:tcW w:w="5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5900" w:type="dxa"/>
            <w:vAlign w:val="bottom"/>
            <w:shd w:val="clear" w:color="auto" w:fill="CCEDFF"/>
          </w:tcPr>
          <w:p>
            <w:pPr>
              <w:ind w:left="140"/>
              <w:spacing w:after="0" w:line="170" w:lineRule="exact"/>
              <w:rPr>
                <w:sz w:val="20"/>
                <w:szCs w:val="20"/>
                <w:color w:val="auto"/>
              </w:rPr>
            </w:pPr>
            <w:r>
              <w:rPr>
                <w:rFonts w:ascii="Arial" w:cs="Arial" w:eastAsia="Arial" w:hAnsi="Arial"/>
                <w:sz w:val="16"/>
                <w:szCs w:val="16"/>
                <w:color w:val="auto"/>
              </w:rPr>
              <w:t>Diluted</w:t>
            </w:r>
          </w:p>
        </w:tc>
        <w:tc>
          <w:tcPr>
            <w:tcW w:w="2180" w:type="dxa"/>
            <w:vAlign w:val="bottom"/>
            <w:gridSpan w:val="2"/>
            <w:shd w:val="clear" w:color="auto" w:fill="CCEDFF"/>
          </w:tcPr>
          <w:p>
            <w:pPr>
              <w:jc w:val="right"/>
              <w:ind w:right="240"/>
              <w:spacing w:after="0" w:line="170" w:lineRule="exact"/>
              <w:rPr>
                <w:sz w:val="20"/>
                <w:szCs w:val="20"/>
                <w:color w:val="auto"/>
              </w:rPr>
            </w:pPr>
            <w:r>
              <w:rPr>
                <w:rFonts w:ascii="Arial" w:cs="Arial" w:eastAsia="Arial" w:hAnsi="Arial"/>
                <w:sz w:val="16"/>
                <w:szCs w:val="16"/>
                <w:color w:val="auto"/>
              </w:rPr>
              <w:t>$</w:t>
            </w:r>
          </w:p>
        </w:tc>
        <w:tc>
          <w:tcPr>
            <w:tcW w:w="1320" w:type="dxa"/>
            <w:vAlign w:val="bottom"/>
            <w:shd w:val="clear" w:color="auto" w:fill="CCEDFF"/>
          </w:tcPr>
          <w:p>
            <w:pPr>
              <w:jc w:val="right"/>
              <w:spacing w:after="0" w:line="170" w:lineRule="exact"/>
              <w:rPr>
                <w:sz w:val="20"/>
                <w:szCs w:val="20"/>
                <w:color w:val="auto"/>
              </w:rPr>
            </w:pPr>
            <w:r>
              <w:rPr>
                <w:rFonts w:ascii="Arial" w:cs="Arial" w:eastAsia="Arial" w:hAnsi="Arial"/>
                <w:sz w:val="16"/>
                <w:szCs w:val="16"/>
                <w:color w:val="auto"/>
              </w:rPr>
              <w:t>(0.24)</w:t>
            </w:r>
          </w:p>
        </w:tc>
        <w:tc>
          <w:tcPr>
            <w:tcW w:w="580" w:type="dxa"/>
            <w:vAlign w:val="bottom"/>
            <w:gridSpan w:val="2"/>
            <w:shd w:val="clear" w:color="auto" w:fill="CCEDFF"/>
          </w:tcPr>
          <w:p>
            <w:pPr>
              <w:jc w:val="right"/>
              <w:ind w:right="320"/>
              <w:spacing w:after="0" w:line="170" w:lineRule="exact"/>
              <w:rPr>
                <w:sz w:val="20"/>
                <w:szCs w:val="20"/>
                <w:color w:val="auto"/>
              </w:rPr>
            </w:pPr>
            <w:r>
              <w:rPr>
                <w:rFonts w:ascii="Arial" w:cs="Arial" w:eastAsia="Arial" w:hAnsi="Arial"/>
                <w:sz w:val="16"/>
                <w:szCs w:val="16"/>
                <w:color w:val="auto"/>
              </w:rPr>
              <w:t>$</w:t>
            </w:r>
          </w:p>
        </w:tc>
        <w:tc>
          <w:tcPr>
            <w:tcW w:w="1260" w:type="dxa"/>
            <w:vAlign w:val="bottom"/>
            <w:shd w:val="clear" w:color="auto" w:fill="CCEDFF"/>
          </w:tcPr>
          <w:p>
            <w:pPr>
              <w:jc w:val="right"/>
              <w:ind w:right="39"/>
              <w:spacing w:after="0" w:line="170" w:lineRule="exact"/>
              <w:rPr>
                <w:sz w:val="20"/>
                <w:szCs w:val="20"/>
                <w:color w:val="auto"/>
              </w:rPr>
            </w:pPr>
            <w:r>
              <w:rPr>
                <w:rFonts w:ascii="Arial" w:cs="Arial" w:eastAsia="Arial" w:hAnsi="Arial"/>
                <w:sz w:val="16"/>
                <w:szCs w:val="16"/>
                <w:color w:val="auto"/>
              </w:rPr>
              <w:t>0.21</w:t>
            </w:r>
          </w:p>
        </w:tc>
      </w:tr>
      <w:tr>
        <w:trPr>
          <w:trHeight w:val="170"/>
        </w:trPr>
        <w:tc>
          <w:tcPr>
            <w:tcW w:w="5900" w:type="dxa"/>
            <w:vAlign w:val="bottom"/>
            <w:tcBorders>
              <w:top w:val="single" w:sz="8" w:color="CCEDFF"/>
            </w:tcBorders>
          </w:tcPr>
          <w:p>
            <w:pPr>
              <w:ind w:left="140"/>
              <w:spacing w:after="0" w:line="170" w:lineRule="exact"/>
              <w:rPr>
                <w:sz w:val="20"/>
                <w:szCs w:val="20"/>
                <w:color w:val="auto"/>
              </w:rPr>
            </w:pPr>
            <w:r>
              <w:rPr>
                <w:rFonts w:ascii="Arial" w:cs="Arial" w:eastAsia="Arial" w:hAnsi="Arial"/>
                <w:sz w:val="16"/>
                <w:szCs w:val="16"/>
                <w:color w:val="auto"/>
              </w:rPr>
              <w:t>Potentially dilutive shares excluded as anti-dilutive</w:t>
            </w:r>
          </w:p>
        </w:tc>
        <w:tc>
          <w:tcPr>
            <w:tcW w:w="1840" w:type="dxa"/>
            <w:vAlign w:val="bottom"/>
            <w:tcBorders>
              <w:top w:val="single" w:sz="8" w:color="CCED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801,446</w:t>
            </w:r>
          </w:p>
        </w:tc>
        <w:tc>
          <w:tcPr>
            <w:tcW w:w="180" w:type="dxa"/>
            <w:vAlign w:val="bottom"/>
            <w:tcBorders>
              <w:top w:val="single" w:sz="8" w:color="CCED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2,484</w:t>
            </w:r>
          </w:p>
        </w:tc>
      </w:tr>
      <w:tr>
        <w:trPr>
          <w:trHeight w:val="20"/>
        </w:trPr>
        <w:tc>
          <w:tcPr>
            <w:tcW w:w="5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-710565</wp:posOffset>
            </wp:positionV>
            <wp:extent cx="111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 xml:space="preserve">We account for equity-based compensation expense in accordance with </w:t>
      </w:r>
      <w:r>
        <w:rPr>
          <w:rFonts w:ascii="Arial" w:cs="Arial" w:eastAsia="Arial" w:hAnsi="Arial"/>
          <w:sz w:val="17"/>
          <w:szCs w:val="17"/>
          <w:i w:val="1"/>
          <w:iCs w:val="1"/>
          <w:color w:val="auto"/>
        </w:rPr>
        <w:t>Accounting Standards Codification Topic 718, 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(“ASC 718”)</w:t>
      </w:r>
      <w:r>
        <w:rPr>
          <w:rFonts w:ascii="Arial" w:cs="Arial" w:eastAsia="Arial" w:hAnsi="Arial"/>
          <w:sz w:val="17"/>
          <w:szCs w:val="17"/>
          <w:color w:val="auto"/>
        </w:rPr>
        <w:t>. Equity instruments are measured at fair value on the grant date consistent with the terms of the award.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compensation expense recorded was $3.0 million and $1.8 million for the three months ended March 31, 2026 and 2025, respectively. The compensation expense is recorded in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our Condensed Consolidated Statements of Operations and Comprehensive Income.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Plan</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 February 25, 2025, the Board approved the Share Repurchase Program that authorizes repurchases of up to an aggregate of $100 million of outstanding Company Common Stock. In connection with the Share Repurchase Program, all share repurchase plans previously authorized by the board of directors of Dril-Quip were terminated. The Share Repurchase Program does not require us to repurchase a specific number of shares or have an expiration date. Any shares repurchased under the Share Repurchase Program will be cancelled.</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During the three months ended March 31, 2026 and 2025, we repurchased 575,000 and 36,043 shares at an average price of $24.59 and $17.95, under the Share Repurchase Program for approximately $14.1 million and $0.6 million, respectively, and have retired such shares. As of March 31, 2026, we had remaining authorization to repurchase up to approximately $76.6 million of our shares.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RELATED PARTY TRANSACTIONS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Related parties include key management personnel and their close family members having authority and responsibility for planning, directing, and monitoring the activities of the Company directly or indirectly. In the normal course of business from time to time, we receive services and products from, or sell products, services, and rentals to, related parties, in transactions that are either not material or approved in accordance with our Related Party Transaction Approval Policy.</w:t>
      </w:r>
    </w:p>
    <w:p>
      <w:pPr>
        <w:spacing w:after="0" w:line="96"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total of purchases from vendors that are related parties were $1.1 million and $0.1 million for the three months ended March 31, 2026 and 2025,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 w:name="page17"/>
    <w:bookmarkEnd w:id="16"/>
    <w:p>
      <w:pPr>
        <w:jc w:val="both"/>
        <w:spacing w:after="0" w:line="249" w:lineRule="auto"/>
        <w:rPr>
          <w:sz w:val="20"/>
          <w:szCs w:val="20"/>
          <w:color w:val="auto"/>
        </w:rPr>
      </w:pPr>
      <w:r>
        <w:rPr>
          <w:rFonts w:ascii="Arial" w:cs="Arial" w:eastAsia="Arial" w:hAnsi="Arial"/>
          <w:sz w:val="17"/>
          <w:szCs w:val="17"/>
          <w:color w:val="auto"/>
        </w:rPr>
        <w:t>Total revenue earned from customers that are related parties were $0.1 million and $0.3 million for the three months ended March 31, 2026 and 2025, respectively. At March 31, 2026, we had $0.1 million of outstanding net trade receivables due from customers that are related parties and at December 31, 2025, we had no outstanding net trade receivables due from customers that are related parties.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COMMITMENTS AND CONTINGENCIES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are sometimes involved in legal proceedings and certain regulatory matters. We record a liability for those legal proceedings and regulatory matters when we determine it is probable that a loss has been incurred and the amount of the loss can be reasonably estimated. We also disclose when it is reasonably possible that a material loss may be incurred. From time to time, we may enter into discussions regarding settlement of these matters, and may enter into settlement agreements, if we believe settlement is in the best interest of the Company and our stockholders. Legal defense costs expected to be incurred in connection with a loss contingency are accrued when probable and reasonably estimable.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Impulse Litigation</w:t>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2023, Impulse Downhole Solutions Ltd. and Impulse Downhole Tools USA Ltd. (collectively, “Impulse”) filed a lawsuit against DWS (captioned Impulse Downhole Solutions Ltd., and Impulse Downhole Tools USA Ltd v. Downhole Well Solutions, LLC, Civil Action No. 4:23-cv-02954) alleging infringement of five United States patents owned by Impulse Downhole Solutions Ltd. relating to friction reduction tools used in directional drilling. The allegations of infringement of two of the patents were dismissed before the jury trial. The jury found the remaining patent claims were valid, that DWS had infringed on those patents and that such infringement was willful. The jury awarded monetary damages to Impulse of $47.6 million, however no judgment has yet been entered and the jury decision is subject to post-trial motions. Damages could increase or decrease based on further proceedings and judicial determination, and the amount of ultimate loss may differ materially from the amount accrued to date.</w:t>
      </w:r>
    </w:p>
    <w:p>
      <w:pPr>
        <w:spacing w:after="0" w:line="11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Loss contingencies are inherently unpredictable; the assessment is highly subjective and requires judgment about future events, and unfavorable developments or resolutions can occur. Based on management’s current understanding of the relevant facts and circumstances, a loss related to this matter is both probable and estimable. As such, we recorded a loss contingency accrual of $48.8 million, inclusive of additional estimated losses since the jury award, classified within </w:t>
      </w:r>
      <w:r>
        <w:rPr>
          <w:rFonts w:ascii="Arial" w:cs="Arial" w:eastAsia="Arial" w:hAnsi="Arial"/>
          <w:sz w:val="17"/>
          <w:szCs w:val="17"/>
          <w:i w:val="1"/>
          <w:iCs w:val="1"/>
          <w:color w:val="auto"/>
        </w:rPr>
        <w:t>Legal settlement accrual</w:t>
      </w:r>
      <w:r>
        <w:rPr>
          <w:rFonts w:ascii="Arial" w:cs="Arial" w:eastAsia="Arial" w:hAnsi="Arial"/>
          <w:sz w:val="17"/>
          <w:szCs w:val="17"/>
          <w:color w:val="auto"/>
        </w:rPr>
        <w:t xml:space="preserve"> in our Condensed Consolidated Balance Sheets. We strongly disagree with the verdict, intend to continue to vigorously challenge it, and expect to pursue post-trial motions and appeal any resulting judgment to the U.S. Court of Appeals for the Federal Circuit.</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addition to the matter described above, there are other pending legal proceedings involving Innovex, considered ordinary routine litigation incidental to the business. While it is not feasible to predict the outcome of such proceedings, in the opinion of Innovex as of March 31, 2026, either the likelihood of loss is remote or any reasonably possible loss associated with the resolution of such proceedings is not expected to be material to our financial condition, results of operations or cash flows either individually or in the aggregate.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Defense Accrual</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Legal defense costs expected to be incurred in connection with a loss contingency are accrued when probable and reasonably estimable. Some of the significant factors considered in the review of these legal defense accruals are as follows: the actual costs incurred by Innovex; the development of Innovex’s legal defense strategy and structure in light of the scope of its litigation; the cases being brought against Innovex; and the costs and outcomes of completed trials and the most current information regarding anticipated timing, progression, and related costs of pre-trial activities and trials in the associated litigation. The legal defense accrual as of March 31, 2026 and December 31, 2025 was $4.9 million and $5.0 million, respectively, and represented our best estimate of the minimum amount of defense costs to be incurred in connection with our outstanding litigation; however, events such as additional trials and other events that could arise in the course of our litigation could affect the ultimate amount of legal defense costs to be incurred by Innovex. We will continue to monitor our legal defense costs and review the adequacy of the associated accrual and may decide to increase the accrual at any time in the future if, based upon the factors set forth, we believe it would be appropriate to do so.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7" w:name="page18"/>
    <w:bookmarkEnd w:id="17"/>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i w:val="1"/>
          <w:iCs w:val="1"/>
          <w:color w:val="auto"/>
        </w:rPr>
        <w:t>The following discussion and analysis of the results of operations, financial condition, and liquidity position of Innovex for the three months ended March 31, 2026 and 2025 should be read in conjunction with (i) the accompanying unaudited Condensed Consolidated Financial Statements and the related notes included in Part I, Item 1 of this Quarterly Report and (ii) the audited Consolidated Financial Statements and related notes for the year ended December 31, 2025 included in our Annual Report.</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The following discussion and analysis contains forward-looking statements that are based on management’s current expectations, estimates and projections about Innovex’s business and operations, and involves risks and uncertainties. Actual results may differ materially from those currently anticipated and expressed in such forward-looking statements because of various factors, including those described in the sections titled “Risk Factors” in our Annual Report and “Cautionary Statement Regarding Forward-Looking Statements” and elsewhere in this Quarterly Report, all of which are difficult to predict.</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Innovex does not undertake any obligation to publicly update any forward-looking statements except as otherwise required by applicable law. References in this section to “Innovex,” the “Company,” the “Combined Company,” “we,” “us,” and “our” are to Innovex International, Inc.(formerly known as Dril-Quip, Inc.) and its consolidated subsidiaries after giving effect to the Merger (as defined below) and related transactions, unless the context otherwise requires or as otherwise indicated. Except as otherwise indicated, references herein to “Dril-Quip” are to Dril-Quip, Inc. prior to the completion of the Merger.</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SUMMARY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Innovex designs, manufactures, sells, and rents mission critical engineered products to the global oil and natural gas industry. Our vision has been to create a global leader in well-centric products and technologies through organic, customer-linked innovations and disciplined acquisitions to drive leading returns for our investors. Our products are used across the life cycle of the well (during the construction, completion, production, and intervention phases) and are typically utilized downhole and are consumable in nature. Our products perform a critical well function, and we believe they are chosen due to their reliability and capacity to save our customers time and lower costs during the well lifecycle. We believe that our products have a significant impact on a well’s performance and economic profile relative to the price we charge, creating a </w:t>
      </w:r>
      <w:r>
        <w:rPr>
          <w:rFonts w:ascii="Arial" w:cs="Arial" w:eastAsia="Arial" w:hAnsi="Arial"/>
          <w:sz w:val="17"/>
          <w:szCs w:val="17"/>
          <w:i w:val="1"/>
          <w:iCs w:val="1"/>
          <w:color w:val="auto"/>
        </w:rPr>
        <w:t>“Big Impact, Small Ticket”</w:t>
      </w:r>
      <w:r>
        <w:rPr>
          <w:rFonts w:ascii="Arial" w:cs="Arial" w:eastAsia="Arial" w:hAnsi="Arial"/>
          <w:sz w:val="17"/>
          <w:szCs w:val="17"/>
          <w:color w:val="auto"/>
        </w:rPr>
        <w:t xml:space="preserve"> value proposition. Many of our products can be used in a significant portion of our customers’ wells globally, with our most advanced products providing mission critical solutions for some of the most challenging and complex wells in the world. We have a track record of developing proprietary products to address our customers’ evolving needs, and we maintain an active pipeline of potential new products across various stages of development.</w:t>
      </w:r>
    </w:p>
    <w:p>
      <w:pPr>
        <w:spacing w:after="0" w:line="27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are a global company, and for the three months ended March 31, 2026, the U.S. and Canadian onshore (“NAM”) market made up approximately 57% of our revenue, while the international and offshore (“International and Offshore”) market constituted 43%. Within the NAM market, we have a strong presence in both the United States and Canada. The NAM market is core to us, and we maintain a robust sales and distribution infrastructure across the region. Our products have broad applicability in this market, particularly for horizontal or unconventional wells that have become prevalent methods of oil and natural gas development across the region. We are focused on significantly increasing our revenue from the International and Offshore markets, as these regions are typically subject to long-cycle investment horizons and exhibit relatively less cyclicality than the NAM market. The Middle East, and in particular Saudi Arabia, has been a key source of growth for Innovex. We also operate across Asia, Latin America, Europe and the Gulf of America, among other regions. To enhance our global reach, we have complemented our locations across these markets with a network of strategic distribution, sales, and manufacturing partners.</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are an innovator and have a development process and culture focused on creating proprietary products for our customers. We seek to work with our customers to solve their operational challenges. We believe that these collaborations have been a source of growth as they have allowed us to develop new products with anchor customers that have served as an initial revenue base from which to scale. We have a unique culture that we view as having been critical to our success in the commercialization of new products. We define our culture as “</w:t>
      </w:r>
      <w:r>
        <w:rPr>
          <w:rFonts w:ascii="Arial" w:cs="Arial" w:eastAsia="Arial" w:hAnsi="Arial"/>
          <w:sz w:val="17"/>
          <w:szCs w:val="17"/>
          <w:i w:val="1"/>
          <w:iCs w:val="1"/>
          <w:color w:val="auto"/>
        </w:rPr>
        <w:t>No Barriers</w:t>
      </w:r>
      <w:r>
        <w:rPr>
          <w:rFonts w:ascii="Arial" w:cs="Arial" w:eastAsia="Arial" w:hAnsi="Arial"/>
          <w:sz w:val="17"/>
          <w:szCs w:val="17"/>
          <w:color w:val="auto"/>
        </w:rPr>
        <w:t>.” Our goal is to remove internal barriers that slow the pace of innovation and empower our employees to be responsive to our customers’ needs, while maintaining a focus on returns for the Company. As a result of our culture and our commitment to customer responsiveness, we believe that we are more agile and able to innovate faster than our larger competitors.</w:t>
      </w:r>
    </w:p>
    <w:p>
      <w:pPr>
        <w:spacing w:after="0" w:line="11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organic growth has been complemented by a disciplined and contrarian acquisition strategy. We view acquisitions as a core competency and have identified a rich opportunity set of acquisition targets that we believe are seeking to transact. We aim to execute a disciplined acquisition strategy for high-quality opportunities that meet our stringent investment criteria.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8" w:name="page19"/>
    <w:bookmarkEnd w:id="18"/>
    <w:p>
      <w:pPr>
        <w:jc w:val="both"/>
        <w:ind w:right="20"/>
        <w:spacing w:after="0" w:line="249" w:lineRule="auto"/>
        <w:rPr>
          <w:sz w:val="20"/>
          <w:szCs w:val="20"/>
          <w:color w:val="auto"/>
        </w:rPr>
      </w:pPr>
      <w:r>
        <w:rPr>
          <w:rFonts w:ascii="Arial" w:cs="Arial" w:eastAsia="Arial" w:hAnsi="Arial"/>
          <w:sz w:val="17"/>
          <w:szCs w:val="17"/>
          <w:color w:val="auto"/>
        </w:rPr>
        <w:t>We have a broad customer base, ranging from International Oil Companies, National Oil Companies, and exploration and production (“E&amp;P”) companies, as well as multinational and regional oilfield service companies. Once a new product has been commercialized or acquired, our global sales and distribution infrastructure enables us to scale and drive customer adoption quickly.</w:t>
      </w:r>
    </w:p>
    <w:p>
      <w:pPr>
        <w:spacing w:after="0" w:line="9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business has produced strong returns on invested capital. Refer to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within this section for Return on Capital Employed, which is how we assess the effectiveness of our capital allocation over time. For the three months ended March 31, 2026, our net loss, loss from operations and Adjusted EBITDA were equivalent to approximately (7.0)%, (9.1)%, and 20.6% of revenue, respectively. Over the same period, capital expenditures accounted for 2.4% of revenue, and we recognized approximately $21.8 million in losses from operations. During the three months ended March 31, 2026 we established a legal contingency accrual due to the jury verdict in connection with the Impulse Litigation, which is a primary reason for the decrease in net income (loss) and income (loss) from operations for the three months ended March 31, 2026. For the three months ended March 31, 2025, our net income, income from operations and Adjusted EBITDA were equivalent to approximately 6.1%, 9.1%, and 19.1% of revenue, respectively. Over the same period, capital expenditures accounted for 2.9% of revenue, and we earned approximately $21.9 million in income from operations. We believe that our global sales and distribution network, as well as our manufacturing capacity and vendor network, position us well to drive revenue growth and margin expansion. Refer to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within this section for the definitions of Adjusted EBITDA, Adjusted EBITDA Margin, and Return on Capital Employed, as well as a reconciliation of Adjusted EBITDA, Adjusted EBITDA Margin, and Return on Capital Employed to our most directly comparable financial measures calculated and presented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-1462405</wp:posOffset>
            </wp:positionV>
            <wp:extent cx="15246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24635" cy="8255"/>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-382270</wp:posOffset>
            </wp:positionV>
            <wp:extent cx="15500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9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believe that we can create value for our stockholders across the industry cycle and view our “through-cycle playbook” as providing a plan for us to outperform in all market environments. We prioritize protecting the long-term health of the Company through investments in R&amp;D and sustaining engineering in our existing portfolio in all market environments. We seek to maintain a conservative balance sheet to preserve operational and financial flexibility through the industry cycle.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April 10, 2026, we acquired Drilling Innovative Solutions, LLC (“DIS”) for $11.5 million in cash, subject to post-closing adjustments, resulting in DIS becoming a wholly owned subsidiary of Innovex. In addition, we have an earn-out obligation subject to the achievement of revenue targets that allow for payments to the previous owners of up to $4 million over the next two years. DIS manufactures and distributes unique patented products to the oil and gas industry, including float valves and plug cement retainers, with a proven track record of helping operators realize significant savings through innovative solutions. Through integrating DIS’ product offering and expertise into our broader platform, we expect to enhance our portfolio of “big-impact, small ticket” products, allowing us to deliver additional value to our global customer base.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Factors and Trends</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business is driven by the number of oil and natural gas wells drilled worldwide, which is closely tied to global exploration and production spending. As of April 17, 2026, Rystad Energy expects global upstream energy spending, excluding Iran, Venezuela, Cuba, Russia, and China, to rise slightly by approximately 2% annually through 2028. Approximately 32,000 wells were drilled in 2025, and that number is expected to decline modestly to approximately 31,000 in 2026 and gradually recover toward approximately 32,000 wells annually by 2028. The pace of development activity is driven by expected well profitability and returns, which, in turn, are influenced by several factors, including current global oil and natural gas supply and demand balances, current and expected future prices for oil and natural gas and the perceived stability and sustainability of these commodity prices over time.</w:t>
      </w:r>
    </w:p>
    <w:p>
      <w:pPr>
        <w:spacing w:after="0" w:line="10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oil and natural gas industry has historically been characterized by volatility in commodity prices and in the level of drilling and production activity, which are driven by a variety of market forces, including geopolitical instability, climate related initiatives, OPEC+ actions, among others. We expect that the growing energy demands of data centers, driven by the prevalence of Artificial Intelligence, will continue to contribute to the consumption of natural gas for power generation. The global demand for oil and natural gas has consistently increased historically, and we believe that multiple years of under investment in oil and natural gas development has left the industry with a limited amount of spare production capacity. Additionally, public E&amp;P operators have adopted a more conservative approach to capital spending in response to stockholders’ desire for increased return of capital. We believe that these factors have laid a foundation to support oil and natural gas prices and will lead to a sustained spending cycle and stable activity levels by our customers in the near and medium-term.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FACTORS AFFECTING THE COMPARABILITY OF OUR RESULTS OF OPERATIONS</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Our historical financial condition and results of operations for the periods presented may not be comparable, either from period to period or going forward, due to recent and future acquisitions. One way in which we have grown, and will continue to grow, our operations and financial results is through strategic acquisitions. In February 2025, we acquired SCF Machining Corporation ("SCF"), a Canadian-domiciled entity and parent company to SCF Machining Corporation Vietnam Company Limited, a Vietnam-based company. In May 2025, we acquired Citadel Casing Solutions, LLC ("Citadel"), a leading provider of differentiated downhole technologies. As a general matter, following an acquisition, our results of operations are affected by the results of the newly acquired business or operations, the purchase accounting for the acquisition, any debt incurred in connection with the acquisition and expenditures made to integrate the newly acquired business or operations. As a result of our acquisitions and the consolidation of our operating subsidiaries’ into our financial results, the periods presented in our historical financial statements may not be comparable to one another and our future results of operations and financial results may differ.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summary consolidated operating results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70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020" w:type="dxa"/>
            <w:vAlign w:val="bottom"/>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vMerge w:val="restart"/>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vMerge w:val="restart"/>
          </w:tcPr>
          <w:p>
            <w:pPr>
              <w:jc w:val="right"/>
              <w:ind w:right="433"/>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4"/>
                <w:szCs w:val="14"/>
                <w:color w:val="auto"/>
              </w:rPr>
            </w:pPr>
          </w:p>
        </w:tc>
        <w:tc>
          <w:tcPr>
            <w:tcW w:w="1680" w:type="dxa"/>
            <w:vAlign w:val="bottom"/>
            <w:vMerge w:val="restart"/>
          </w:tcPr>
          <w:p>
            <w:pPr>
              <w:jc w:val="right"/>
              <w:ind w:right="553"/>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42"/>
        </w:trPr>
        <w:tc>
          <w:tcPr>
            <w:tcW w:w="37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2026</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1"/>
              <w:spacing w:after="0" w:line="142" w:lineRule="exact"/>
              <w:rPr>
                <w:sz w:val="20"/>
                <w:szCs w:val="20"/>
                <w:color w:val="auto"/>
              </w:rPr>
            </w:pPr>
            <w:r>
              <w:rPr>
                <w:rFonts w:ascii="Arial" w:cs="Arial" w:eastAsia="Arial" w:hAnsi="Arial"/>
                <w:sz w:val="13"/>
                <w:szCs w:val="13"/>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700" w:type="dxa"/>
            <w:vAlign w:val="bottom"/>
          </w:tcPr>
          <w:p>
            <w:pPr>
              <w:spacing w:after="0" w:line="115" w:lineRule="exact"/>
              <w:rPr>
                <w:sz w:val="20"/>
                <w:szCs w:val="20"/>
                <w:color w:val="auto"/>
              </w:rPr>
            </w:pPr>
            <w:r>
              <w:rPr>
                <w:rFonts w:ascii="Arial" w:cs="Arial" w:eastAsia="Arial" w:hAnsi="Arial"/>
                <w:sz w:val="13"/>
                <w:szCs w:val="13"/>
                <w:color w:val="auto"/>
              </w:rPr>
              <w:t>Revenues</w:t>
            </w:r>
          </w:p>
        </w:tc>
        <w:tc>
          <w:tcPr>
            <w:tcW w:w="1900" w:type="dxa"/>
            <w:vAlign w:val="bottom"/>
            <w:gridSpan w:val="2"/>
          </w:tcPr>
          <w:p>
            <w:pPr>
              <w:jc w:val="right"/>
              <w:ind w:right="733"/>
              <w:spacing w:after="0" w:line="115"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53"/>
              <w:spacing w:after="0" w:line="115" w:lineRule="exact"/>
              <w:rPr>
                <w:sz w:val="20"/>
                <w:szCs w:val="20"/>
                <w:color w:val="auto"/>
              </w:rPr>
            </w:pPr>
            <w:r>
              <w:rPr>
                <w:rFonts w:ascii="Arial" w:cs="Arial" w:eastAsia="Arial" w:hAnsi="Arial"/>
                <w:sz w:val="13"/>
                <w:szCs w:val="13"/>
                <w:color w:val="auto"/>
              </w:rPr>
              <w:t>239,031</w:t>
            </w:r>
          </w:p>
        </w:tc>
        <w:tc>
          <w:tcPr>
            <w:tcW w:w="1020" w:type="dxa"/>
            <w:vAlign w:val="bottom"/>
            <w:gridSpan w:val="2"/>
          </w:tcPr>
          <w:p>
            <w:pPr>
              <w:jc w:val="right"/>
              <w:ind w:right="781"/>
              <w:spacing w:after="0" w:line="115"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53"/>
              <w:spacing w:after="0" w:line="115" w:lineRule="exact"/>
              <w:rPr>
                <w:sz w:val="20"/>
                <w:szCs w:val="20"/>
                <w:color w:val="auto"/>
              </w:rPr>
            </w:pPr>
            <w:r>
              <w:rPr>
                <w:rFonts w:ascii="Arial" w:cs="Arial" w:eastAsia="Arial" w:hAnsi="Arial"/>
                <w:sz w:val="13"/>
                <w:szCs w:val="13"/>
                <w:color w:val="auto"/>
              </w:rPr>
              <w:t>240,415</w:t>
            </w:r>
          </w:p>
        </w:tc>
        <w:tc>
          <w:tcPr>
            <w:tcW w:w="580" w:type="dxa"/>
            <w:vAlign w:val="bottom"/>
            <w:gridSpan w:val="2"/>
          </w:tcPr>
          <w:p>
            <w:pPr>
              <w:jc w:val="right"/>
              <w:ind w:right="333"/>
              <w:spacing w:after="0" w:line="115" w:lineRule="exact"/>
              <w:rPr>
                <w:sz w:val="20"/>
                <w:szCs w:val="20"/>
                <w:color w:val="auto"/>
              </w:rPr>
            </w:pPr>
            <w:r>
              <w:rPr>
                <w:rFonts w:ascii="Arial" w:cs="Arial" w:eastAsia="Arial" w:hAnsi="Arial"/>
                <w:sz w:val="13"/>
                <w:szCs w:val="13"/>
                <w:color w:val="auto"/>
              </w:rPr>
              <w:t>$</w:t>
            </w:r>
          </w:p>
        </w:tc>
        <w:tc>
          <w:tcPr>
            <w:tcW w:w="1000" w:type="dxa"/>
            <w:vAlign w:val="bottom"/>
          </w:tcPr>
          <w:p>
            <w:pPr>
              <w:jc w:val="right"/>
              <w:spacing w:after="0" w:line="115" w:lineRule="exact"/>
              <w:rPr>
                <w:sz w:val="20"/>
                <w:szCs w:val="20"/>
                <w:color w:val="auto"/>
              </w:rPr>
            </w:pPr>
            <w:r>
              <w:rPr>
                <w:rFonts w:ascii="Arial" w:cs="Arial" w:eastAsia="Arial" w:hAnsi="Arial"/>
                <w:sz w:val="13"/>
                <w:szCs w:val="13"/>
                <w:color w:val="auto"/>
              </w:rPr>
              <w:t>(1,384)</w:t>
            </w:r>
          </w:p>
        </w:tc>
        <w:tc>
          <w:tcPr>
            <w:tcW w:w="17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6"/>
        </w:trPr>
        <w:tc>
          <w:tcPr>
            <w:tcW w:w="3700" w:type="dxa"/>
            <w:vAlign w:val="bottom"/>
          </w:tcPr>
          <w:p>
            <w:pPr>
              <w:spacing w:after="0" w:line="176" w:lineRule="exact"/>
              <w:rPr>
                <w:sz w:val="20"/>
                <w:szCs w:val="20"/>
                <w:color w:val="auto"/>
              </w:rPr>
            </w:pPr>
            <w:r>
              <w:rPr>
                <w:rFonts w:ascii="Arial" w:cs="Arial" w:eastAsia="Arial" w:hAnsi="Arial"/>
                <w:sz w:val="13"/>
                <w:szCs w:val="13"/>
                <w:color w:val="auto"/>
              </w:rPr>
              <w:t>Cost of revenues</w:t>
            </w:r>
            <w:r>
              <w:rPr>
                <w:rFonts w:ascii="Arial" w:cs="Arial" w:eastAsia="Arial" w:hAnsi="Arial"/>
                <w:sz w:val="18"/>
                <w:szCs w:val="18"/>
                <w:color w:val="auto"/>
                <w:vertAlign w:val="superscript"/>
              </w:rPr>
              <w:t>(a)</w:t>
            </w:r>
          </w:p>
        </w:tc>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154,522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163,911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(9,389)</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8"/>
        </w:trPr>
        <w:tc>
          <w:tcPr>
            <w:tcW w:w="3700" w:type="dxa"/>
            <w:vAlign w:val="bottom"/>
            <w:shd w:val="clear" w:color="auto" w:fill="CCEDFF"/>
          </w:tcPr>
          <w:p>
            <w:pPr>
              <w:spacing w:after="0"/>
              <w:rPr>
                <w:sz w:val="20"/>
                <w:szCs w:val="20"/>
                <w:color w:val="auto"/>
              </w:rPr>
            </w:pPr>
            <w:r>
              <w:rPr>
                <w:rFonts w:ascii="Arial" w:cs="Arial" w:eastAsia="Arial" w:hAnsi="Arial"/>
                <w:sz w:val="13"/>
                <w:szCs w:val="13"/>
                <w:color w:val="auto"/>
              </w:rPr>
              <w:t>Selling, general and administrative expenses</w:t>
            </w:r>
          </w:p>
        </w:tc>
        <w:tc>
          <w:tcPr>
            <w:tcW w:w="1020" w:type="dxa"/>
            <w:vAlign w:val="bottom"/>
            <w:shd w:val="clear" w:color="auto" w:fill="CCEDFF"/>
          </w:tcPr>
          <w:p>
            <w:pPr>
              <w:spacing w:after="0"/>
              <w:rPr>
                <w:sz w:val="12"/>
                <w:szCs w:val="12"/>
                <w:color w:val="auto"/>
              </w:rPr>
            </w:pPr>
          </w:p>
        </w:tc>
        <w:tc>
          <w:tcPr>
            <w:tcW w:w="880" w:type="dxa"/>
            <w:vAlign w:val="bottom"/>
            <w:shd w:val="clear" w:color="auto" w:fill="CCEDFF"/>
          </w:tcPr>
          <w:p>
            <w:pPr>
              <w:spacing w:after="0"/>
              <w:rPr>
                <w:sz w:val="12"/>
                <w:szCs w:val="12"/>
                <w:color w:val="auto"/>
              </w:rPr>
            </w:pPr>
          </w:p>
        </w:tc>
        <w:tc>
          <w:tcPr>
            <w:tcW w:w="64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41,748</w:t>
            </w:r>
          </w:p>
        </w:tc>
        <w:tc>
          <w:tcPr>
            <w:tcW w:w="120" w:type="dxa"/>
            <w:vAlign w:val="bottom"/>
            <w:shd w:val="clear" w:color="auto" w:fill="CCEDFF"/>
          </w:tcPr>
          <w:p>
            <w:pPr>
              <w:spacing w:after="0"/>
              <w:rPr>
                <w:sz w:val="12"/>
                <w:szCs w:val="12"/>
                <w:color w:val="auto"/>
              </w:rPr>
            </w:pPr>
          </w:p>
        </w:tc>
        <w:tc>
          <w:tcPr>
            <w:tcW w:w="900" w:type="dxa"/>
            <w:vAlign w:val="bottom"/>
            <w:shd w:val="clear" w:color="auto" w:fill="CCEDFF"/>
          </w:tcPr>
          <w:p>
            <w:pPr>
              <w:spacing w:after="0"/>
              <w:rPr>
                <w:sz w:val="12"/>
                <w:szCs w:val="12"/>
                <w:color w:val="auto"/>
              </w:rPr>
            </w:pPr>
          </w:p>
        </w:tc>
        <w:tc>
          <w:tcPr>
            <w:tcW w:w="6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32,349</w:t>
            </w:r>
          </w:p>
        </w:tc>
        <w:tc>
          <w:tcPr>
            <w:tcW w:w="100" w:type="dxa"/>
            <w:vAlign w:val="bottom"/>
            <w:shd w:val="clear" w:color="auto" w:fill="CCEDFF"/>
          </w:tcPr>
          <w:p>
            <w:pPr>
              <w:spacing w:after="0"/>
              <w:rPr>
                <w:sz w:val="12"/>
                <w:szCs w:val="12"/>
                <w:color w:val="auto"/>
              </w:rPr>
            </w:pPr>
          </w:p>
        </w:tc>
        <w:tc>
          <w:tcPr>
            <w:tcW w:w="480" w:type="dxa"/>
            <w:vAlign w:val="bottom"/>
            <w:shd w:val="clear" w:color="auto" w:fill="CCEDFF"/>
          </w:tcPr>
          <w:p>
            <w:pPr>
              <w:spacing w:after="0"/>
              <w:rPr>
                <w:sz w:val="12"/>
                <w:szCs w:val="12"/>
                <w:color w:val="auto"/>
              </w:rPr>
            </w:pPr>
          </w:p>
        </w:tc>
        <w:tc>
          <w:tcPr>
            <w:tcW w:w="100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9,399</w:t>
            </w:r>
          </w:p>
        </w:tc>
        <w:tc>
          <w:tcPr>
            <w:tcW w:w="1780" w:type="dxa"/>
            <w:vAlign w:val="bottom"/>
            <w:gridSpan w:val="2"/>
            <w:shd w:val="clear" w:color="auto" w:fill="CCED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(Gain) loss on sale of assets</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(2,168)</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(1,465)%</w:t>
            </w:r>
          </w:p>
        </w:tc>
        <w:tc>
          <w:tcPr>
            <w:tcW w:w="0" w:type="dxa"/>
            <w:vAlign w:val="bottom"/>
          </w:tcPr>
          <w:p>
            <w:pPr>
              <w:spacing w:after="0"/>
              <w:rPr>
                <w:sz w:val="1"/>
                <w:szCs w:val="1"/>
                <w:color w:val="auto"/>
              </w:rPr>
            </w:pPr>
          </w:p>
        </w:tc>
      </w:tr>
      <w:tr>
        <w:trPr>
          <w:trHeight w:val="149"/>
        </w:trPr>
        <w:tc>
          <w:tcPr>
            <w:tcW w:w="3700" w:type="dxa"/>
            <w:vAlign w:val="bottom"/>
            <w:shd w:val="clear" w:color="auto" w:fill="CCEDFF"/>
          </w:tcPr>
          <w:p>
            <w:pPr>
              <w:spacing w:after="0"/>
              <w:rPr>
                <w:sz w:val="20"/>
                <w:szCs w:val="20"/>
                <w:color w:val="auto"/>
              </w:rPr>
            </w:pPr>
            <w:r>
              <w:rPr>
                <w:rFonts w:ascii="Arial" w:cs="Arial" w:eastAsia="Arial" w:hAnsi="Arial"/>
                <w:sz w:val="13"/>
                <w:szCs w:val="13"/>
                <w:color w:val="auto"/>
              </w:rPr>
              <w:t>Depreciation and amortization</w:t>
            </w:r>
          </w:p>
        </w:tc>
        <w:tc>
          <w:tcPr>
            <w:tcW w:w="1020" w:type="dxa"/>
            <w:vAlign w:val="bottom"/>
            <w:shd w:val="clear" w:color="auto" w:fill="CCEDFF"/>
          </w:tcPr>
          <w:p>
            <w:pPr>
              <w:spacing w:after="0"/>
              <w:rPr>
                <w:sz w:val="12"/>
                <w:szCs w:val="12"/>
                <w:color w:val="auto"/>
              </w:rPr>
            </w:pPr>
          </w:p>
        </w:tc>
        <w:tc>
          <w:tcPr>
            <w:tcW w:w="880" w:type="dxa"/>
            <w:vAlign w:val="bottom"/>
            <w:shd w:val="clear" w:color="auto" w:fill="CCEDFF"/>
          </w:tcPr>
          <w:p>
            <w:pPr>
              <w:spacing w:after="0"/>
              <w:rPr>
                <w:sz w:val="12"/>
                <w:szCs w:val="12"/>
                <w:color w:val="auto"/>
              </w:rPr>
            </w:pPr>
          </w:p>
        </w:tc>
        <w:tc>
          <w:tcPr>
            <w:tcW w:w="64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16,222</w:t>
            </w:r>
          </w:p>
        </w:tc>
        <w:tc>
          <w:tcPr>
            <w:tcW w:w="120" w:type="dxa"/>
            <w:vAlign w:val="bottom"/>
            <w:shd w:val="clear" w:color="auto" w:fill="CCEDFF"/>
          </w:tcPr>
          <w:p>
            <w:pPr>
              <w:spacing w:after="0"/>
              <w:rPr>
                <w:sz w:val="12"/>
                <w:szCs w:val="12"/>
                <w:color w:val="auto"/>
              </w:rPr>
            </w:pPr>
          </w:p>
        </w:tc>
        <w:tc>
          <w:tcPr>
            <w:tcW w:w="900" w:type="dxa"/>
            <w:vAlign w:val="bottom"/>
            <w:shd w:val="clear" w:color="auto" w:fill="CCEDFF"/>
          </w:tcPr>
          <w:p>
            <w:pPr>
              <w:spacing w:after="0"/>
              <w:rPr>
                <w:sz w:val="12"/>
                <w:szCs w:val="12"/>
                <w:color w:val="auto"/>
              </w:rPr>
            </w:pPr>
          </w:p>
        </w:tc>
        <w:tc>
          <w:tcPr>
            <w:tcW w:w="6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14,945</w:t>
            </w:r>
          </w:p>
        </w:tc>
        <w:tc>
          <w:tcPr>
            <w:tcW w:w="100" w:type="dxa"/>
            <w:vAlign w:val="bottom"/>
            <w:shd w:val="clear" w:color="auto" w:fill="CCEDFF"/>
          </w:tcPr>
          <w:p>
            <w:pPr>
              <w:spacing w:after="0"/>
              <w:rPr>
                <w:sz w:val="12"/>
                <w:szCs w:val="12"/>
                <w:color w:val="auto"/>
              </w:rPr>
            </w:pPr>
          </w:p>
        </w:tc>
        <w:tc>
          <w:tcPr>
            <w:tcW w:w="480" w:type="dxa"/>
            <w:vAlign w:val="bottom"/>
            <w:shd w:val="clear" w:color="auto" w:fill="CCEDFF"/>
          </w:tcPr>
          <w:p>
            <w:pPr>
              <w:spacing w:after="0"/>
              <w:rPr>
                <w:sz w:val="12"/>
                <w:szCs w:val="12"/>
                <w:color w:val="auto"/>
              </w:rPr>
            </w:pPr>
          </w:p>
        </w:tc>
        <w:tc>
          <w:tcPr>
            <w:tcW w:w="100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1,277</w:t>
            </w:r>
          </w:p>
        </w:tc>
        <w:tc>
          <w:tcPr>
            <w:tcW w:w="1780" w:type="dxa"/>
            <w:vAlign w:val="bottom"/>
            <w:gridSpan w:val="2"/>
            <w:shd w:val="clear" w:color="auto" w:fill="CCED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Impairment of long-lived assets</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jc w:val="right"/>
              <w:ind w:right="53"/>
              <w:spacing w:after="0"/>
              <w:rPr>
                <w:sz w:val="20"/>
                <w:szCs w:val="20"/>
                <w:color w:val="auto"/>
              </w:rPr>
            </w:pPr>
            <w:r>
              <w:rPr>
                <w:rFonts w:ascii="Arial" w:cs="Arial" w:eastAsia="Arial" w:hAnsi="Arial"/>
                <w:sz w:val="13"/>
                <w:szCs w:val="13"/>
                <w:color w:val="auto"/>
              </w:rPr>
              <w:t>2,924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(2,924)</w:t>
            </w:r>
          </w:p>
        </w:tc>
        <w:tc>
          <w:tcPr>
            <w:tcW w:w="178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700" w:type="dxa"/>
            <w:vAlign w:val="bottom"/>
            <w:shd w:val="clear" w:color="auto" w:fill="CCEDFF"/>
          </w:tcPr>
          <w:p>
            <w:pPr>
              <w:spacing w:after="0"/>
              <w:rPr>
                <w:sz w:val="20"/>
                <w:szCs w:val="20"/>
                <w:color w:val="auto"/>
              </w:rPr>
            </w:pPr>
            <w:r>
              <w:rPr>
                <w:rFonts w:ascii="Arial" w:cs="Arial" w:eastAsia="Arial" w:hAnsi="Arial"/>
                <w:sz w:val="13"/>
                <w:szCs w:val="13"/>
                <w:color w:val="auto"/>
              </w:rPr>
              <w:t>Acquisition and integration costs</w:t>
            </w:r>
          </w:p>
        </w:tc>
        <w:tc>
          <w:tcPr>
            <w:tcW w:w="1020" w:type="dxa"/>
            <w:vAlign w:val="bottom"/>
            <w:shd w:val="clear" w:color="auto" w:fill="CCEDFF"/>
          </w:tcPr>
          <w:p>
            <w:pPr>
              <w:spacing w:after="0"/>
              <w:rPr>
                <w:sz w:val="12"/>
                <w:szCs w:val="12"/>
                <w:color w:val="auto"/>
              </w:rPr>
            </w:pPr>
          </w:p>
        </w:tc>
        <w:tc>
          <w:tcPr>
            <w:tcW w:w="880" w:type="dxa"/>
            <w:vAlign w:val="bottom"/>
            <w:shd w:val="clear" w:color="auto" w:fill="CCEDFF"/>
          </w:tcPr>
          <w:p>
            <w:pPr>
              <w:spacing w:after="0"/>
              <w:rPr>
                <w:sz w:val="12"/>
                <w:szCs w:val="12"/>
                <w:color w:val="auto"/>
              </w:rPr>
            </w:pPr>
          </w:p>
        </w:tc>
        <w:tc>
          <w:tcPr>
            <w:tcW w:w="64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1,588</w:t>
            </w:r>
          </w:p>
        </w:tc>
        <w:tc>
          <w:tcPr>
            <w:tcW w:w="120" w:type="dxa"/>
            <w:vAlign w:val="bottom"/>
            <w:shd w:val="clear" w:color="auto" w:fill="CCEDFF"/>
          </w:tcPr>
          <w:p>
            <w:pPr>
              <w:spacing w:after="0"/>
              <w:rPr>
                <w:sz w:val="12"/>
                <w:szCs w:val="12"/>
                <w:color w:val="auto"/>
              </w:rPr>
            </w:pPr>
          </w:p>
        </w:tc>
        <w:tc>
          <w:tcPr>
            <w:tcW w:w="900" w:type="dxa"/>
            <w:vAlign w:val="bottom"/>
            <w:shd w:val="clear" w:color="auto" w:fill="CCEDFF"/>
          </w:tcPr>
          <w:p>
            <w:pPr>
              <w:spacing w:after="0"/>
              <w:rPr>
                <w:sz w:val="12"/>
                <w:szCs w:val="12"/>
                <w:color w:val="auto"/>
              </w:rPr>
            </w:pPr>
          </w:p>
        </w:tc>
        <w:tc>
          <w:tcPr>
            <w:tcW w:w="6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4,288</w:t>
            </w:r>
          </w:p>
        </w:tc>
        <w:tc>
          <w:tcPr>
            <w:tcW w:w="100" w:type="dxa"/>
            <w:vAlign w:val="bottom"/>
            <w:shd w:val="clear" w:color="auto" w:fill="CCEDFF"/>
          </w:tcPr>
          <w:p>
            <w:pPr>
              <w:spacing w:after="0"/>
              <w:rPr>
                <w:sz w:val="12"/>
                <w:szCs w:val="12"/>
                <w:color w:val="auto"/>
              </w:rPr>
            </w:pPr>
          </w:p>
        </w:tc>
        <w:tc>
          <w:tcPr>
            <w:tcW w:w="480" w:type="dxa"/>
            <w:vAlign w:val="bottom"/>
            <w:shd w:val="clear" w:color="auto" w:fill="CCEDFF"/>
          </w:tcPr>
          <w:p>
            <w:pPr>
              <w:spacing w:after="0"/>
              <w:rPr>
                <w:sz w:val="12"/>
                <w:szCs w:val="12"/>
                <w:color w:val="auto"/>
              </w:rPr>
            </w:pPr>
          </w:p>
        </w:tc>
        <w:tc>
          <w:tcPr>
            <w:tcW w:w="1000" w:type="dxa"/>
            <w:vAlign w:val="bottom"/>
            <w:shd w:val="clear" w:color="auto" w:fill="CCEDFF"/>
          </w:tcPr>
          <w:p>
            <w:pPr>
              <w:jc w:val="right"/>
              <w:spacing w:after="0"/>
              <w:rPr>
                <w:sz w:val="20"/>
                <w:szCs w:val="20"/>
                <w:color w:val="auto"/>
              </w:rPr>
            </w:pPr>
            <w:r>
              <w:rPr>
                <w:rFonts w:ascii="Arial" w:cs="Arial" w:eastAsia="Arial" w:hAnsi="Arial"/>
                <w:sz w:val="13"/>
                <w:szCs w:val="13"/>
                <w:color w:val="auto"/>
              </w:rPr>
              <w:t>(2,700)</w:t>
            </w:r>
          </w:p>
        </w:tc>
        <w:tc>
          <w:tcPr>
            <w:tcW w:w="1780" w:type="dxa"/>
            <w:vAlign w:val="bottom"/>
            <w:gridSpan w:val="2"/>
            <w:shd w:val="clear" w:color="auto" w:fill="CCED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Provision for legal settlement</w:t>
            </w:r>
          </w:p>
        </w:tc>
        <w:tc>
          <w:tcPr>
            <w:tcW w:w="10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48,803</w:t>
            </w:r>
          </w:p>
        </w:tc>
        <w:tc>
          <w:tcPr>
            <w:tcW w:w="1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48,803</w:t>
            </w:r>
          </w:p>
        </w:tc>
        <w:tc>
          <w:tcPr>
            <w:tcW w:w="178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3700" w:type="dxa"/>
            <w:vAlign w:val="bottom"/>
            <w:shd w:val="clear" w:color="auto" w:fill="CCEDFF"/>
          </w:tcPr>
          <w:p>
            <w:pPr>
              <w:ind w:left="60"/>
              <w:spacing w:after="0" w:line="142" w:lineRule="exact"/>
              <w:rPr>
                <w:sz w:val="20"/>
                <w:szCs w:val="20"/>
                <w:color w:val="auto"/>
              </w:rPr>
            </w:pPr>
            <w:r>
              <w:rPr>
                <w:rFonts w:ascii="Arial" w:cs="Arial" w:eastAsia="Arial" w:hAnsi="Arial"/>
                <w:sz w:val="13"/>
                <w:szCs w:val="13"/>
                <w:color w:val="auto"/>
              </w:rPr>
              <w:t>Total costs and expenses</w:t>
            </w:r>
          </w:p>
        </w:tc>
        <w:tc>
          <w:tcPr>
            <w:tcW w:w="1900" w:type="dxa"/>
            <w:vAlign w:val="bottom"/>
            <w:gridSpan w:val="2"/>
            <w:shd w:val="clear" w:color="auto" w:fill="CCEDFF"/>
          </w:tcPr>
          <w:p>
            <w:pPr>
              <w:jc w:val="right"/>
              <w:ind w:right="733"/>
              <w:spacing w:after="0" w:line="142" w:lineRule="exact"/>
              <w:rPr>
                <w:sz w:val="20"/>
                <w:szCs w:val="20"/>
                <w:color w:val="auto"/>
              </w:rPr>
            </w:pPr>
            <w:r>
              <w:rPr>
                <w:rFonts w:ascii="Arial" w:cs="Arial" w:eastAsia="Arial" w:hAnsi="Arial"/>
                <w:sz w:val="13"/>
                <w:szCs w:val="13"/>
                <w:color w:val="auto"/>
              </w:rPr>
              <w:t>$</w:t>
            </w:r>
          </w:p>
        </w:tc>
        <w:tc>
          <w:tcPr>
            <w:tcW w:w="640" w:type="dxa"/>
            <w:vAlign w:val="bottom"/>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260,863</w:t>
            </w:r>
          </w:p>
        </w:tc>
        <w:tc>
          <w:tcPr>
            <w:tcW w:w="1020" w:type="dxa"/>
            <w:vAlign w:val="bottom"/>
            <w:gridSpan w:val="2"/>
            <w:shd w:val="clear" w:color="auto" w:fill="CCEDFF"/>
          </w:tcPr>
          <w:p>
            <w:pPr>
              <w:jc w:val="right"/>
              <w:ind w:right="781"/>
              <w:spacing w:after="0" w:line="142" w:lineRule="exact"/>
              <w:rPr>
                <w:sz w:val="20"/>
                <w:szCs w:val="20"/>
                <w:color w:val="auto"/>
              </w:rPr>
            </w:pPr>
            <w:r>
              <w:rPr>
                <w:rFonts w:ascii="Arial" w:cs="Arial" w:eastAsia="Arial" w:hAnsi="Arial"/>
                <w:sz w:val="13"/>
                <w:szCs w:val="13"/>
                <w:color w:val="auto"/>
              </w:rPr>
              <w:t>$</w:t>
            </w:r>
          </w:p>
        </w:tc>
        <w:tc>
          <w:tcPr>
            <w:tcW w:w="620" w:type="dxa"/>
            <w:vAlign w:val="bottom"/>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218,565</w:t>
            </w:r>
          </w:p>
        </w:tc>
        <w:tc>
          <w:tcPr>
            <w:tcW w:w="580" w:type="dxa"/>
            <w:vAlign w:val="bottom"/>
            <w:gridSpan w:val="2"/>
            <w:shd w:val="clear" w:color="auto" w:fill="CCEDFF"/>
          </w:tcPr>
          <w:p>
            <w:pPr>
              <w:jc w:val="right"/>
              <w:ind w:right="333"/>
              <w:spacing w:after="0" w:line="142" w:lineRule="exact"/>
              <w:rPr>
                <w:sz w:val="20"/>
                <w:szCs w:val="20"/>
                <w:color w:val="auto"/>
              </w:rPr>
            </w:pPr>
            <w:r>
              <w:rPr>
                <w:rFonts w:ascii="Arial" w:cs="Arial" w:eastAsia="Arial" w:hAnsi="Arial"/>
                <w:sz w:val="13"/>
                <w:szCs w:val="13"/>
                <w:color w:val="auto"/>
              </w:rPr>
              <w:t>$</w:t>
            </w:r>
          </w:p>
        </w:tc>
        <w:tc>
          <w:tcPr>
            <w:tcW w:w="1000" w:type="dxa"/>
            <w:vAlign w:val="bottom"/>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42,298</w:t>
            </w:r>
          </w:p>
        </w:tc>
        <w:tc>
          <w:tcPr>
            <w:tcW w:w="1780" w:type="dxa"/>
            <w:vAlign w:val="bottom"/>
            <w:gridSpan w:val="2"/>
            <w:shd w:val="clear" w:color="auto" w:fill="CCEDFF"/>
          </w:tcPr>
          <w:p>
            <w:pPr>
              <w:jc w:val="right"/>
              <w:spacing w:after="0" w:line="142"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DFF"/>
            </w:tcBorders>
          </w:tcPr>
          <w:p>
            <w:pPr>
              <w:ind w:left="100"/>
              <w:spacing w:after="0" w:line="142" w:lineRule="exact"/>
              <w:rPr>
                <w:sz w:val="20"/>
                <w:szCs w:val="20"/>
                <w:color w:val="auto"/>
              </w:rPr>
            </w:pPr>
            <w:r>
              <w:rPr>
                <w:rFonts w:ascii="Arial" w:cs="Arial" w:eastAsia="Arial" w:hAnsi="Arial"/>
                <w:sz w:val="13"/>
                <w:szCs w:val="13"/>
                <w:color w:val="auto"/>
              </w:rPr>
              <w:t>Income (loss) from operations</w:t>
            </w:r>
          </w:p>
        </w:tc>
        <w:tc>
          <w:tcPr>
            <w:tcW w:w="1020" w:type="dxa"/>
            <w:vAlign w:val="bottom"/>
            <w:tcBorders>
              <w:top w:val="single" w:sz="8" w:color="CCEDFF"/>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(21,832)</w:t>
            </w:r>
          </w:p>
        </w:tc>
        <w:tc>
          <w:tcPr>
            <w:tcW w:w="120" w:type="dxa"/>
            <w:vAlign w:val="bottom"/>
            <w:tcBorders>
              <w:top w:val="single" w:sz="8" w:color="CCED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21,850</w:t>
            </w:r>
          </w:p>
        </w:tc>
        <w:tc>
          <w:tcPr>
            <w:tcW w:w="100" w:type="dxa"/>
            <w:vAlign w:val="bottom"/>
            <w:tcBorders>
              <w:top w:val="single" w:sz="8" w:color="CCEDFF"/>
            </w:tcBorders>
          </w:tcPr>
          <w:p>
            <w:pPr>
              <w:spacing w:after="0"/>
              <w:rPr>
                <w:sz w:val="12"/>
                <w:szCs w:val="12"/>
                <w:color w:val="auto"/>
              </w:rPr>
            </w:pPr>
          </w:p>
        </w:tc>
        <w:tc>
          <w:tcPr>
            <w:tcW w:w="480" w:type="dxa"/>
            <w:vAlign w:val="bottom"/>
            <w:tcBorders>
              <w:top w:val="single" w:sz="8" w:color="CCEDFF"/>
            </w:tcBorders>
          </w:tcPr>
          <w:p>
            <w:pPr>
              <w:spacing w:after="0"/>
              <w:rPr>
                <w:sz w:val="12"/>
                <w:szCs w:val="12"/>
                <w:color w:val="auto"/>
              </w:rPr>
            </w:pPr>
          </w:p>
        </w:tc>
        <w:tc>
          <w:tcPr>
            <w:tcW w:w="1000" w:type="dxa"/>
            <w:vAlign w:val="bottom"/>
            <w:tcBorders>
              <w:top w:val="single" w:sz="8" w:color="CCEDFF"/>
            </w:tcBorders>
          </w:tcPr>
          <w:p>
            <w:pPr>
              <w:jc w:val="right"/>
              <w:spacing w:after="0" w:line="142" w:lineRule="exact"/>
              <w:rPr>
                <w:sz w:val="20"/>
                <w:szCs w:val="20"/>
                <w:color w:val="auto"/>
              </w:rPr>
            </w:pPr>
            <w:r>
              <w:rPr>
                <w:rFonts w:ascii="Arial" w:cs="Arial" w:eastAsia="Arial" w:hAnsi="Arial"/>
                <w:sz w:val="13"/>
                <w:szCs w:val="13"/>
                <w:color w:val="auto"/>
              </w:rPr>
              <w:t>(43,682)</w:t>
            </w:r>
          </w:p>
        </w:tc>
        <w:tc>
          <w:tcPr>
            <w:tcW w:w="1780" w:type="dxa"/>
            <w:vAlign w:val="bottom"/>
            <w:tcBorders>
              <w:top w:val="single" w:sz="8" w:color="CCEDFF"/>
            </w:tcBorders>
            <w:gridSpan w:val="2"/>
          </w:tcPr>
          <w:p>
            <w:pPr>
              <w:jc w:val="right"/>
              <w:spacing w:after="0" w:line="142" w:lineRule="exact"/>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48"/>
        </w:trPr>
        <w:tc>
          <w:tcPr>
            <w:tcW w:w="3700" w:type="dxa"/>
            <w:vAlign w:val="bottom"/>
            <w:shd w:val="clear" w:color="auto" w:fill="CCEDFF"/>
          </w:tcPr>
          <w:p>
            <w:pPr>
              <w:spacing w:after="0"/>
              <w:rPr>
                <w:sz w:val="20"/>
                <w:szCs w:val="20"/>
                <w:color w:val="auto"/>
              </w:rPr>
            </w:pPr>
            <w:r>
              <w:rPr>
                <w:rFonts w:ascii="Arial" w:cs="Arial" w:eastAsia="Arial" w:hAnsi="Arial"/>
                <w:sz w:val="13"/>
                <w:szCs w:val="13"/>
                <w:color w:val="auto"/>
              </w:rPr>
              <w:t>Interest (income) expense, net</w:t>
            </w:r>
          </w:p>
        </w:tc>
        <w:tc>
          <w:tcPr>
            <w:tcW w:w="1020" w:type="dxa"/>
            <w:vAlign w:val="bottom"/>
            <w:shd w:val="clear" w:color="auto" w:fill="CCEDFF"/>
          </w:tcPr>
          <w:p>
            <w:pPr>
              <w:spacing w:after="0"/>
              <w:rPr>
                <w:sz w:val="12"/>
                <w:szCs w:val="12"/>
                <w:color w:val="auto"/>
              </w:rPr>
            </w:pPr>
          </w:p>
        </w:tc>
        <w:tc>
          <w:tcPr>
            <w:tcW w:w="880" w:type="dxa"/>
            <w:vAlign w:val="bottom"/>
            <w:shd w:val="clear" w:color="auto" w:fill="CCEDFF"/>
          </w:tcPr>
          <w:p>
            <w:pPr>
              <w:spacing w:after="0"/>
              <w:rPr>
                <w:sz w:val="12"/>
                <w:szCs w:val="12"/>
                <w:color w:val="auto"/>
              </w:rPr>
            </w:pPr>
          </w:p>
        </w:tc>
        <w:tc>
          <w:tcPr>
            <w:tcW w:w="640" w:type="dxa"/>
            <w:vAlign w:val="bottom"/>
            <w:shd w:val="clear" w:color="auto" w:fill="CCEDFF"/>
          </w:tcPr>
          <w:p>
            <w:pPr>
              <w:jc w:val="right"/>
              <w:spacing w:after="0"/>
              <w:rPr>
                <w:sz w:val="20"/>
                <w:szCs w:val="20"/>
                <w:color w:val="auto"/>
              </w:rPr>
            </w:pPr>
            <w:r>
              <w:rPr>
                <w:rFonts w:ascii="Arial" w:cs="Arial" w:eastAsia="Arial" w:hAnsi="Arial"/>
                <w:sz w:val="13"/>
                <w:szCs w:val="13"/>
                <w:color w:val="auto"/>
              </w:rPr>
              <w:t>(388)</w:t>
            </w:r>
          </w:p>
        </w:tc>
        <w:tc>
          <w:tcPr>
            <w:tcW w:w="120" w:type="dxa"/>
            <w:vAlign w:val="bottom"/>
            <w:shd w:val="clear" w:color="auto" w:fill="CCEDFF"/>
          </w:tcPr>
          <w:p>
            <w:pPr>
              <w:spacing w:after="0"/>
              <w:rPr>
                <w:sz w:val="12"/>
                <w:szCs w:val="12"/>
                <w:color w:val="auto"/>
              </w:rPr>
            </w:pPr>
          </w:p>
        </w:tc>
        <w:tc>
          <w:tcPr>
            <w:tcW w:w="900" w:type="dxa"/>
            <w:vAlign w:val="bottom"/>
            <w:shd w:val="clear" w:color="auto" w:fill="CCEDFF"/>
          </w:tcPr>
          <w:p>
            <w:pPr>
              <w:spacing w:after="0"/>
              <w:rPr>
                <w:sz w:val="12"/>
                <w:szCs w:val="12"/>
                <w:color w:val="auto"/>
              </w:rPr>
            </w:pPr>
          </w:p>
        </w:tc>
        <w:tc>
          <w:tcPr>
            <w:tcW w:w="6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700</w:t>
            </w:r>
          </w:p>
        </w:tc>
        <w:tc>
          <w:tcPr>
            <w:tcW w:w="100" w:type="dxa"/>
            <w:vAlign w:val="bottom"/>
            <w:shd w:val="clear" w:color="auto" w:fill="CCEDFF"/>
          </w:tcPr>
          <w:p>
            <w:pPr>
              <w:spacing w:after="0"/>
              <w:rPr>
                <w:sz w:val="12"/>
                <w:szCs w:val="12"/>
                <w:color w:val="auto"/>
              </w:rPr>
            </w:pPr>
          </w:p>
        </w:tc>
        <w:tc>
          <w:tcPr>
            <w:tcW w:w="480" w:type="dxa"/>
            <w:vAlign w:val="bottom"/>
            <w:shd w:val="clear" w:color="auto" w:fill="CCEDFF"/>
          </w:tcPr>
          <w:p>
            <w:pPr>
              <w:spacing w:after="0"/>
              <w:rPr>
                <w:sz w:val="12"/>
                <w:szCs w:val="12"/>
                <w:color w:val="auto"/>
              </w:rPr>
            </w:pPr>
          </w:p>
        </w:tc>
        <w:tc>
          <w:tcPr>
            <w:tcW w:w="1000" w:type="dxa"/>
            <w:vAlign w:val="bottom"/>
            <w:shd w:val="clear" w:color="auto" w:fill="CCEDFF"/>
          </w:tcPr>
          <w:p>
            <w:pPr>
              <w:jc w:val="right"/>
              <w:spacing w:after="0"/>
              <w:rPr>
                <w:sz w:val="20"/>
                <w:szCs w:val="20"/>
                <w:color w:val="auto"/>
              </w:rPr>
            </w:pPr>
            <w:r>
              <w:rPr>
                <w:rFonts w:ascii="Arial" w:cs="Arial" w:eastAsia="Arial" w:hAnsi="Arial"/>
                <w:sz w:val="13"/>
                <w:szCs w:val="13"/>
                <w:color w:val="auto"/>
              </w:rPr>
              <w:t>(1,088)</w:t>
            </w:r>
          </w:p>
        </w:tc>
        <w:tc>
          <w:tcPr>
            <w:tcW w:w="1780" w:type="dxa"/>
            <w:vAlign w:val="bottom"/>
            <w:gridSpan w:val="2"/>
            <w:shd w:val="clear" w:color="auto" w:fill="CCEDFF"/>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48"/>
        </w:trPr>
        <w:tc>
          <w:tcPr>
            <w:tcW w:w="3700" w:type="dxa"/>
            <w:vAlign w:val="bottom"/>
            <w:tcBorders>
              <w:bottom w:val="single" w:sz="8" w:color="CCEDFF"/>
            </w:tcBorders>
          </w:tcPr>
          <w:p>
            <w:pPr>
              <w:spacing w:after="0"/>
              <w:rPr>
                <w:sz w:val="20"/>
                <w:szCs w:val="20"/>
                <w:color w:val="auto"/>
              </w:rPr>
            </w:pPr>
            <w:r>
              <w:rPr>
                <w:rFonts w:ascii="Arial" w:cs="Arial" w:eastAsia="Arial" w:hAnsi="Arial"/>
                <w:sz w:val="13"/>
                <w:szCs w:val="13"/>
                <w:color w:val="auto"/>
              </w:rPr>
              <w:t>Other (income) expense, net</w:t>
            </w:r>
          </w:p>
        </w:tc>
        <w:tc>
          <w:tcPr>
            <w:tcW w:w="1020" w:type="dxa"/>
            <w:vAlign w:val="bottom"/>
            <w:tcBorders>
              <w:bottom w:val="single" w:sz="8" w:color="CCED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150</w:t>
            </w:r>
          </w:p>
        </w:tc>
        <w:tc>
          <w:tcPr>
            <w:tcW w:w="120" w:type="dxa"/>
            <w:vAlign w:val="bottom"/>
            <w:tcBorders>
              <w:bottom w:val="single" w:sz="8" w:color="CCED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100" w:type="dxa"/>
            <w:vAlign w:val="bottom"/>
            <w:tcBorders>
              <w:bottom w:val="single" w:sz="8" w:color="CCEDFF"/>
            </w:tcBorders>
          </w:tcPr>
          <w:p>
            <w:pPr>
              <w:spacing w:after="0"/>
              <w:rPr>
                <w:sz w:val="12"/>
                <w:szCs w:val="12"/>
                <w:color w:val="auto"/>
              </w:rPr>
            </w:pPr>
          </w:p>
        </w:tc>
        <w:tc>
          <w:tcPr>
            <w:tcW w:w="480" w:type="dxa"/>
            <w:vAlign w:val="bottom"/>
            <w:tcBorders>
              <w:bottom w:val="single" w:sz="8" w:color="CCEDFF"/>
            </w:tcBorders>
          </w:tcPr>
          <w:p>
            <w:pPr>
              <w:spacing w:after="0"/>
              <w:rPr>
                <w:sz w:val="12"/>
                <w:szCs w:val="12"/>
                <w:color w:val="auto"/>
              </w:rPr>
            </w:pPr>
          </w:p>
        </w:tc>
        <w:tc>
          <w:tcPr>
            <w:tcW w:w="1000" w:type="dxa"/>
            <w:vAlign w:val="bottom"/>
            <w:tcBorders>
              <w:bottom w:val="single" w:sz="8" w:color="CCEDFF"/>
            </w:tcBorders>
          </w:tcPr>
          <w:p>
            <w:pPr>
              <w:jc w:val="right"/>
              <w:ind w:right="53"/>
              <w:spacing w:after="0"/>
              <w:rPr>
                <w:sz w:val="20"/>
                <w:szCs w:val="20"/>
                <w:color w:val="auto"/>
              </w:rPr>
            </w:pPr>
            <w:r>
              <w:rPr>
                <w:rFonts w:ascii="Arial" w:cs="Arial" w:eastAsia="Arial" w:hAnsi="Arial"/>
                <w:sz w:val="13"/>
                <w:szCs w:val="13"/>
                <w:color w:val="auto"/>
              </w:rPr>
              <w:t>364</w:t>
            </w:r>
          </w:p>
        </w:tc>
        <w:tc>
          <w:tcPr>
            <w:tcW w:w="1780" w:type="dxa"/>
            <w:vAlign w:val="bottom"/>
            <w:tcBorders>
              <w:bottom w:val="single" w:sz="8" w:color="CCEDFF"/>
            </w:tcBorders>
            <w:gridSpan w:val="2"/>
          </w:tcPr>
          <w:p>
            <w:pPr>
              <w:jc w:val="right"/>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42"/>
        </w:trPr>
        <w:tc>
          <w:tcPr>
            <w:tcW w:w="3700" w:type="dxa"/>
            <w:vAlign w:val="bottom"/>
            <w:shd w:val="clear" w:color="auto" w:fill="CCEDFF"/>
          </w:tcPr>
          <w:p>
            <w:pPr>
              <w:ind w:left="100"/>
              <w:spacing w:after="0" w:line="142" w:lineRule="exact"/>
              <w:rPr>
                <w:sz w:val="20"/>
                <w:szCs w:val="20"/>
                <w:color w:val="auto"/>
              </w:rPr>
            </w:pPr>
            <w:r>
              <w:rPr>
                <w:rFonts w:ascii="Arial" w:cs="Arial" w:eastAsia="Arial" w:hAnsi="Arial"/>
                <w:sz w:val="13"/>
                <w:szCs w:val="13"/>
                <w:color w:val="auto"/>
              </w:rPr>
              <w:t>Income (loss) before income taxes</w:t>
            </w:r>
          </w:p>
        </w:tc>
        <w:tc>
          <w:tcPr>
            <w:tcW w:w="1020" w:type="dxa"/>
            <w:vAlign w:val="bottom"/>
            <w:shd w:val="clear" w:color="auto" w:fill="CCEDFF"/>
          </w:tcPr>
          <w:p>
            <w:pPr>
              <w:spacing w:after="0"/>
              <w:rPr>
                <w:sz w:val="12"/>
                <w:szCs w:val="12"/>
                <w:color w:val="auto"/>
              </w:rPr>
            </w:pPr>
          </w:p>
        </w:tc>
        <w:tc>
          <w:tcPr>
            <w:tcW w:w="880" w:type="dxa"/>
            <w:vAlign w:val="bottom"/>
            <w:shd w:val="clear" w:color="auto" w:fill="CCEDFF"/>
          </w:tcPr>
          <w:p>
            <w:pPr>
              <w:spacing w:after="0"/>
              <w:rPr>
                <w:sz w:val="12"/>
                <w:szCs w:val="12"/>
                <w:color w:val="auto"/>
              </w:rPr>
            </w:pPr>
          </w:p>
        </w:tc>
        <w:tc>
          <w:tcPr>
            <w:tcW w:w="640" w:type="dxa"/>
            <w:vAlign w:val="bottom"/>
            <w:shd w:val="clear" w:color="auto" w:fill="CCEDFF"/>
          </w:tcPr>
          <w:p>
            <w:pPr>
              <w:jc w:val="right"/>
              <w:spacing w:after="0" w:line="142" w:lineRule="exact"/>
              <w:rPr>
                <w:sz w:val="20"/>
                <w:szCs w:val="20"/>
                <w:color w:val="auto"/>
              </w:rPr>
            </w:pPr>
            <w:r>
              <w:rPr>
                <w:rFonts w:ascii="Arial" w:cs="Arial" w:eastAsia="Arial" w:hAnsi="Arial"/>
                <w:sz w:val="13"/>
                <w:szCs w:val="13"/>
                <w:color w:val="auto"/>
              </w:rPr>
              <w:t>(21,594)</w:t>
            </w:r>
          </w:p>
        </w:tc>
        <w:tc>
          <w:tcPr>
            <w:tcW w:w="120" w:type="dxa"/>
            <w:vAlign w:val="bottom"/>
            <w:shd w:val="clear" w:color="auto" w:fill="CCEDFF"/>
          </w:tcPr>
          <w:p>
            <w:pPr>
              <w:spacing w:after="0"/>
              <w:rPr>
                <w:sz w:val="12"/>
                <w:szCs w:val="12"/>
                <w:color w:val="auto"/>
              </w:rPr>
            </w:pPr>
          </w:p>
        </w:tc>
        <w:tc>
          <w:tcPr>
            <w:tcW w:w="900" w:type="dxa"/>
            <w:vAlign w:val="bottom"/>
            <w:shd w:val="clear" w:color="auto" w:fill="CCEDFF"/>
          </w:tcPr>
          <w:p>
            <w:pPr>
              <w:spacing w:after="0"/>
              <w:rPr>
                <w:sz w:val="12"/>
                <w:szCs w:val="12"/>
                <w:color w:val="auto"/>
              </w:rPr>
            </w:pPr>
          </w:p>
        </w:tc>
        <w:tc>
          <w:tcPr>
            <w:tcW w:w="620" w:type="dxa"/>
            <w:vAlign w:val="bottom"/>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21,364</w:t>
            </w:r>
          </w:p>
        </w:tc>
        <w:tc>
          <w:tcPr>
            <w:tcW w:w="100" w:type="dxa"/>
            <w:vAlign w:val="bottom"/>
            <w:shd w:val="clear" w:color="auto" w:fill="CCEDFF"/>
          </w:tcPr>
          <w:p>
            <w:pPr>
              <w:spacing w:after="0"/>
              <w:rPr>
                <w:sz w:val="12"/>
                <w:szCs w:val="12"/>
                <w:color w:val="auto"/>
              </w:rPr>
            </w:pPr>
          </w:p>
        </w:tc>
        <w:tc>
          <w:tcPr>
            <w:tcW w:w="480" w:type="dxa"/>
            <w:vAlign w:val="bottom"/>
            <w:shd w:val="clear" w:color="auto" w:fill="CCEDFF"/>
          </w:tcPr>
          <w:p>
            <w:pPr>
              <w:spacing w:after="0"/>
              <w:rPr>
                <w:sz w:val="12"/>
                <w:szCs w:val="12"/>
                <w:color w:val="auto"/>
              </w:rPr>
            </w:pPr>
          </w:p>
        </w:tc>
        <w:tc>
          <w:tcPr>
            <w:tcW w:w="1000" w:type="dxa"/>
            <w:vAlign w:val="bottom"/>
            <w:shd w:val="clear" w:color="auto" w:fill="CCEDFF"/>
          </w:tcPr>
          <w:p>
            <w:pPr>
              <w:jc w:val="right"/>
              <w:spacing w:after="0" w:line="142" w:lineRule="exact"/>
              <w:rPr>
                <w:sz w:val="20"/>
                <w:szCs w:val="20"/>
                <w:color w:val="auto"/>
              </w:rPr>
            </w:pPr>
            <w:r>
              <w:rPr>
                <w:rFonts w:ascii="Arial" w:cs="Arial" w:eastAsia="Arial" w:hAnsi="Arial"/>
                <w:sz w:val="13"/>
                <w:szCs w:val="13"/>
                <w:color w:val="auto"/>
              </w:rPr>
              <w:t>(42,958)</w:t>
            </w:r>
          </w:p>
        </w:tc>
        <w:tc>
          <w:tcPr>
            <w:tcW w:w="1780" w:type="dxa"/>
            <w:vAlign w:val="bottom"/>
            <w:gridSpan w:val="2"/>
            <w:shd w:val="clear" w:color="auto" w:fill="CCEDFF"/>
          </w:tcPr>
          <w:p>
            <w:pPr>
              <w:jc w:val="right"/>
              <w:spacing w:after="0" w:line="142" w:lineRule="exact"/>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Income tax expense (benefit), net</w:t>
            </w:r>
          </w:p>
        </w:tc>
        <w:tc>
          <w:tcPr>
            <w:tcW w:w="10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(4,923)</w:t>
            </w:r>
          </w:p>
        </w:tc>
        <w:tc>
          <w:tcPr>
            <w:tcW w:w="1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6,607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(11,530)</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82"/>
        </w:trPr>
        <w:tc>
          <w:tcPr>
            <w:tcW w:w="3700" w:type="dxa"/>
            <w:vAlign w:val="bottom"/>
            <w:tcBorders>
              <w:bottom w:val="single" w:sz="8" w:color="CCEDFF"/>
            </w:tcBorders>
            <w:shd w:val="clear" w:color="auto" w:fill="CCEDFF"/>
          </w:tcPr>
          <w:p>
            <w:pPr>
              <w:ind w:left="100"/>
              <w:spacing w:after="0" w:line="142" w:lineRule="exact"/>
              <w:rPr>
                <w:sz w:val="20"/>
                <w:szCs w:val="20"/>
                <w:color w:val="auto"/>
              </w:rPr>
            </w:pPr>
            <w:r>
              <w:rPr>
                <w:rFonts w:ascii="Arial" w:cs="Arial" w:eastAsia="Arial" w:hAnsi="Arial"/>
                <w:sz w:val="13"/>
                <w:szCs w:val="13"/>
                <w:color w:val="auto"/>
              </w:rPr>
              <w:t>Net income (loss)</w:t>
            </w:r>
          </w:p>
        </w:tc>
        <w:tc>
          <w:tcPr>
            <w:tcW w:w="1020" w:type="dxa"/>
            <w:vAlign w:val="bottom"/>
            <w:tcBorders>
              <w:bottom w:val="single" w:sz="8" w:color="CCEDFF"/>
            </w:tcBorders>
            <w:shd w:val="clear" w:color="auto" w:fill="CCEDFF"/>
          </w:tcPr>
          <w:p>
            <w:pPr>
              <w:spacing w:after="0"/>
              <w:rPr>
                <w:sz w:val="15"/>
                <w:szCs w:val="15"/>
                <w:color w:val="auto"/>
              </w:rPr>
            </w:pPr>
          </w:p>
        </w:tc>
        <w:tc>
          <w:tcPr>
            <w:tcW w:w="880" w:type="dxa"/>
            <w:vAlign w:val="bottom"/>
            <w:tcBorders>
              <w:bottom w:val="single" w:sz="8" w:color="auto"/>
            </w:tcBorders>
            <w:shd w:val="clear" w:color="auto" w:fill="CCEDFF"/>
          </w:tcPr>
          <w:p>
            <w:pPr>
              <w:jc w:val="right"/>
              <w:ind w:right="733"/>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DFF"/>
          </w:tcPr>
          <w:p>
            <w:pPr>
              <w:jc w:val="right"/>
              <w:spacing w:after="0" w:line="129" w:lineRule="exact"/>
              <w:rPr>
                <w:sz w:val="20"/>
                <w:szCs w:val="20"/>
                <w:color w:val="auto"/>
              </w:rPr>
            </w:pPr>
            <w:r>
              <w:rPr>
                <w:rFonts w:ascii="Arial" w:cs="Arial" w:eastAsia="Arial" w:hAnsi="Arial"/>
                <w:sz w:val="13"/>
                <w:szCs w:val="13"/>
                <w:color w:val="auto"/>
              </w:rPr>
              <w:t>(16,671)</w:t>
            </w:r>
          </w:p>
        </w:tc>
        <w:tc>
          <w:tcPr>
            <w:tcW w:w="120" w:type="dxa"/>
            <w:vAlign w:val="bottom"/>
            <w:tcBorders>
              <w:bottom w:val="single" w:sz="8" w:color="CCEDFF"/>
            </w:tcBorders>
            <w:shd w:val="clear" w:color="auto" w:fill="CCEDFF"/>
          </w:tcPr>
          <w:p>
            <w:pPr>
              <w:spacing w:after="0"/>
              <w:rPr>
                <w:sz w:val="15"/>
                <w:szCs w:val="15"/>
                <w:color w:val="auto"/>
              </w:rPr>
            </w:pPr>
          </w:p>
        </w:tc>
        <w:tc>
          <w:tcPr>
            <w:tcW w:w="900" w:type="dxa"/>
            <w:vAlign w:val="bottom"/>
            <w:tcBorders>
              <w:bottom w:val="single" w:sz="8" w:color="auto"/>
            </w:tcBorders>
            <w:shd w:val="clear" w:color="auto" w:fill="CCEDFF"/>
          </w:tcPr>
          <w:p>
            <w:pPr>
              <w:jc w:val="right"/>
              <w:ind w:right="78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DFF"/>
          </w:tcPr>
          <w:p>
            <w:pPr>
              <w:jc w:val="right"/>
              <w:ind w:right="53"/>
              <w:spacing w:after="0" w:line="129" w:lineRule="exact"/>
              <w:rPr>
                <w:sz w:val="20"/>
                <w:szCs w:val="20"/>
                <w:color w:val="auto"/>
              </w:rPr>
            </w:pPr>
            <w:r>
              <w:rPr>
                <w:rFonts w:ascii="Arial" w:cs="Arial" w:eastAsia="Arial" w:hAnsi="Arial"/>
                <w:sz w:val="13"/>
                <w:szCs w:val="13"/>
                <w:color w:val="auto"/>
              </w:rPr>
              <w:t>14,757</w:t>
            </w:r>
          </w:p>
        </w:tc>
        <w:tc>
          <w:tcPr>
            <w:tcW w:w="580" w:type="dxa"/>
            <w:vAlign w:val="bottom"/>
            <w:tcBorders>
              <w:bottom w:val="single" w:sz="8" w:color="CCEDFF"/>
            </w:tcBorders>
            <w:gridSpan w:val="2"/>
            <w:shd w:val="clear" w:color="auto" w:fill="CCEDFF"/>
          </w:tcPr>
          <w:p>
            <w:pPr>
              <w:jc w:val="right"/>
              <w:ind w:right="333"/>
              <w:spacing w:after="0" w:line="142"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CCEDFF"/>
            </w:tcBorders>
            <w:shd w:val="clear" w:color="auto" w:fill="CCEDFF"/>
          </w:tcPr>
          <w:p>
            <w:pPr>
              <w:jc w:val="right"/>
              <w:spacing w:after="0" w:line="142" w:lineRule="exact"/>
              <w:rPr>
                <w:sz w:val="20"/>
                <w:szCs w:val="20"/>
                <w:color w:val="auto"/>
              </w:rPr>
            </w:pPr>
            <w:r>
              <w:rPr>
                <w:rFonts w:ascii="Arial" w:cs="Arial" w:eastAsia="Arial" w:hAnsi="Arial"/>
                <w:sz w:val="13"/>
                <w:szCs w:val="13"/>
                <w:color w:val="auto"/>
              </w:rPr>
              <w:t>(31,428)</w:t>
            </w:r>
          </w:p>
        </w:tc>
        <w:tc>
          <w:tcPr>
            <w:tcW w:w="1780" w:type="dxa"/>
            <w:vAlign w:val="bottom"/>
            <w:tcBorders>
              <w:bottom w:val="single" w:sz="8" w:color="CCEDFF"/>
            </w:tcBorders>
            <w:gridSpan w:val="2"/>
            <w:shd w:val="clear" w:color="auto" w:fill="CCEDFF"/>
          </w:tcPr>
          <w:p>
            <w:pPr>
              <w:jc w:val="right"/>
              <w:spacing w:after="0" w:line="142" w:lineRule="exact"/>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-616585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-616585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-325120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-325120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 w:lineRule="exact"/>
        <w:rPr>
          <w:sz w:val="20"/>
          <w:szCs w:val="20"/>
          <w:color w:val="auto"/>
        </w:rPr>
      </w:pPr>
    </w:p>
    <w:p>
      <w:pPr>
        <w:ind w:right="7660" w:firstLine="8"/>
        <w:spacing w:after="0" w:line="340" w:lineRule="auto"/>
        <w:tabs>
          <w:tab w:leader="none" w:pos="135" w:val="left"/>
        </w:tabs>
        <w:numPr>
          <w:ilvl w:val="0"/>
          <w:numId w:val="6"/>
        </w:numPr>
        <w:rPr>
          <w:rFonts w:ascii="Arial" w:cs="Arial" w:eastAsia="Arial" w:hAnsi="Arial"/>
          <w:sz w:val="15"/>
          <w:szCs w:val="15"/>
          <w:color w:val="auto"/>
          <w:vertAlign w:val="superscript"/>
        </w:rPr>
      </w:pPr>
      <w:r>
        <w:rPr>
          <w:rFonts w:ascii="Arial" w:cs="Arial" w:eastAsia="Arial" w:hAnsi="Arial"/>
          <w:sz w:val="11"/>
          <w:szCs w:val="11"/>
          <w:color w:val="auto"/>
        </w:rPr>
        <w:t xml:space="preserve">Cost of revenues excludes depreciation and amortization. * </w:t>
      </w:r>
      <w:r>
        <w:rPr>
          <w:rFonts w:ascii="Arial" w:cs="Arial" w:eastAsia="Arial" w:hAnsi="Arial"/>
          <w:sz w:val="11"/>
          <w:szCs w:val="11"/>
          <w:i w:val="1"/>
          <w:iCs w:val="1"/>
          <w:color w:val="auto"/>
        </w:rPr>
        <w:t>not meaningful</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March 31, 2026 Compared to Three Months Ended March 31, 2025</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Our NAM market revenue for the three months ended March 31, 2026 was $136.7 million, an increase of $16.2 million from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March 31, 2025, primarily driven by an increase in market share and incremental business operations due to the acquisition of Citadel. Our International and Offshore market revenue for the three months ended March 31, 2026, was $102.3 million, a decrease of $17.6 million from the three months ended March 31, 2025, primarily driven by a decrease in business operations from our Europe, Caspian, and Africa ("ECAF") geography.</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Cost of revenues, exclusive of depreciation and amortization </w:t>
      </w:r>
      <w:r>
        <w:rPr>
          <w:rFonts w:ascii="Arial" w:cs="Arial" w:eastAsia="Arial" w:hAnsi="Arial"/>
          <w:sz w:val="17"/>
          <w:szCs w:val="17"/>
          <w:color w:val="auto"/>
        </w:rPr>
        <w:t>Total cost of revenues for the three months ended March 31, 2026 was $154.5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a decrease of $9.4 million from the three months ended March 31, 2025. The change was primarily attributable to a decrease in service costs, driven by lower direct salaries and wages costs.</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 for the three months ended March 31, 2026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$41.7 million, an increase of $9.4 million from the three months ended March 31, 2025. The change was attributable to an increase of $13.4 million in bonuses, commissions, IT costs, and other business costs primarily attributable to the Citadel acquisition, as well as attorney and professional services costs related to the Impulse Litigation, offset by a decrease in salaries and wages of $4.2 million.</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(Gain) loss on sale of assets </w:t>
      </w:r>
      <w:r>
        <w:rPr>
          <w:rFonts w:ascii="Arial" w:cs="Arial" w:eastAsia="Arial" w:hAnsi="Arial"/>
          <w:sz w:val="17"/>
          <w:szCs w:val="17"/>
          <w:color w:val="auto"/>
        </w:rPr>
        <w:t>(Gain) loss on sale of assets for the three months ended March 31, 2026 and 2025 was $(2.0) million and $0.1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respectively. The change was driven by the sale of our rental tool assets, which resulted in a gain, offset by normal variations associated with the sale of property and equipment during the period.</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Total depreciation and amortization expense for the three months ended March 31, 2026 was $16.2 million,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of $1.3 million from the three months ended March 31, 2025. The change was primarily due to additional depreciation for assets acquired related to our acquisition of Citadel.</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Long-lived asset impairment expense for the three months ended March 31, 2025 was $2.9 million and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related to real estate in Mexico acquired as part of the Merger that was held for sale at March 31, 2025 and marketed at an amount that was lower than the net book value, which ultimately resulted in an impairment expense of $2.9 million. There was no impairment recognized during the three months ended March 31,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Acquisition and integration costs </w:t>
      </w:r>
      <w:r>
        <w:rPr>
          <w:rFonts w:ascii="Arial" w:cs="Arial" w:eastAsia="Arial" w:hAnsi="Arial"/>
          <w:sz w:val="17"/>
          <w:szCs w:val="17"/>
          <w:color w:val="auto"/>
        </w:rPr>
        <w:t>$2.7 million from the three months acquisition activity and the Merger.</w:t>
      </w:r>
    </w:p>
    <w:p>
      <w:pPr>
        <w:spacing w:after="0" w:line="20" w:lineRule="exact"/>
        <w:rPr>
          <w:sz w:val="20"/>
          <w:szCs w:val="20"/>
          <w:color w:val="auto"/>
        </w:rPr>
      </w:pPr>
      <w:r>
        <w:rPr>
          <w:sz w:val="20"/>
          <w:szCs w:val="20"/>
          <w:color w:val="auto"/>
        </w:rPr>
        <w:br w:type="column"/>
      </w:r>
    </w:p>
    <w:p>
      <w:pPr>
        <w:ind w:firstLine="36"/>
        <w:spacing w:after="0" w:line="267" w:lineRule="auto"/>
        <w:rPr>
          <w:sz w:val="20"/>
          <w:szCs w:val="20"/>
          <w:color w:val="auto"/>
        </w:rPr>
      </w:pPr>
      <w:r>
        <w:rPr>
          <w:rFonts w:ascii="Arial" w:cs="Arial" w:eastAsia="Arial" w:hAnsi="Arial"/>
          <w:sz w:val="17"/>
          <w:szCs w:val="17"/>
          <w:color w:val="auto"/>
        </w:rPr>
        <w:t>Acquisition and integration costs for the three months ended March 31, 2026 were $1.6 million, a decrease of ended March 31, 2025. The change was due to a reduction of costs incurred in 2025 attributable to the</w:t>
      </w:r>
    </w:p>
    <w:p>
      <w:pPr>
        <w:spacing w:after="0" w:line="267" w:lineRule="exact"/>
        <w:rPr>
          <w:sz w:val="20"/>
          <w:szCs w:val="20"/>
          <w:color w:val="auto"/>
        </w:rPr>
      </w:pPr>
    </w:p>
    <w:p>
      <w:pPr>
        <w:sectPr>
          <w:pgSz w:w="11900" w:h="16838" w:orient="portrait"/>
          <w:cols w:equalWidth="0" w:num="2">
            <w:col w:w="2760" w:space="100"/>
            <w:col w:w="8380"/>
          </w:cols>
          <w:pgMar w:left="320" w:top="1130" w:right="339" w:bottom="1440" w:gutter="0" w:footer="0" w:header="0"/>
        </w:sectPr>
      </w:pPr>
    </w:p>
    <w:p>
      <w:pPr>
        <w:jc w:val="both"/>
        <w:ind w:right="20"/>
        <w:spacing w:after="0" w:line="267" w:lineRule="auto"/>
        <w:rPr>
          <w:sz w:val="20"/>
          <w:szCs w:val="20"/>
          <w:color w:val="auto"/>
        </w:rPr>
      </w:pPr>
      <w:r>
        <w:rPr>
          <w:rFonts w:ascii="Arial" w:cs="Arial" w:eastAsia="Arial" w:hAnsi="Arial"/>
          <w:sz w:val="17"/>
          <w:szCs w:val="17"/>
          <w:b w:val="1"/>
          <w:bCs w:val="1"/>
          <w:i w:val="1"/>
          <w:iCs w:val="1"/>
          <w:color w:val="auto"/>
        </w:rPr>
        <w:t xml:space="preserve">Provision for legal settlement </w:t>
      </w:r>
      <w:r>
        <w:rPr>
          <w:rFonts w:ascii="Arial" w:cs="Arial" w:eastAsia="Arial" w:hAnsi="Arial"/>
          <w:sz w:val="17"/>
          <w:szCs w:val="17"/>
          <w:color w:val="auto"/>
        </w:rPr>
        <w:t>Provision for legal settlement expense for the three months ended March 31, 2026 was $48.8 million and entirely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related to the Impulse Litigation, as discussed further in </w:t>
      </w:r>
      <w:r>
        <w:rPr>
          <w:rFonts w:ascii="Arial" w:cs="Arial" w:eastAsia="Arial" w:hAnsi="Arial"/>
          <w:sz w:val="17"/>
          <w:szCs w:val="17"/>
          <w:i w:val="1"/>
          <w:iCs w:val="1"/>
          <w:color w:val="auto"/>
        </w:rPr>
        <w:t>Note 16. Commitments and Contingencies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-38735</wp:posOffset>
            </wp:positionV>
            <wp:extent cx="20383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38350" cy="8255"/>
                    </a:xfrm>
                    <a:prstGeom prst="rect">
                      <a:avLst/>
                    </a:prstGeom>
                    <a:noFill/>
                  </pic:spPr>
                </pic:pic>
              </a:graphicData>
            </a:graphic>
          </wp:anchor>
        </w:drawing>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Interest (income) expense, net </w:t>
      </w:r>
      <w:r>
        <w:rPr>
          <w:rFonts w:ascii="Arial" w:cs="Arial" w:eastAsia="Arial" w:hAnsi="Arial"/>
          <w:sz w:val="17"/>
          <w:szCs w:val="17"/>
          <w:color w:val="auto"/>
        </w:rPr>
        <w:t>Total interest (income) expense, net was $(0.4) million and $0.7 million for the three months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2026 and 2025, respectively. Interest expense (income) varied slightly between the two periods due to a change in the mix of long-term debt and finance lease obligations.</w:t>
      </w:r>
    </w:p>
    <w:p>
      <w:pPr>
        <w:sectPr>
          <w:pgSz w:w="11900" w:h="16838" w:orient="portrait"/>
          <w:cols w:equalWidth="0" w:num="1">
            <w:col w:w="11240"/>
          </w:cols>
          <w:pgMar w:left="320" w:top="1130" w:right="339" w:bottom="1440" w:gutter="0" w:footer="0" w:header="0"/>
          <w:type w:val="continuous"/>
        </w:sectPr>
      </w:pP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Other expense (income), net </w:t>
      </w:r>
      <w:r>
        <w:rPr>
          <w:rFonts w:ascii="Arial" w:cs="Arial" w:eastAsia="Arial" w:hAnsi="Arial"/>
          <w:sz w:val="17"/>
          <w:szCs w:val="17"/>
          <w:color w:val="auto"/>
        </w:rPr>
        <w:t>million from the three months (losses).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firstLine="103"/>
        <w:spacing w:after="0" w:line="267" w:lineRule="auto"/>
        <w:rPr>
          <w:sz w:val="20"/>
          <w:szCs w:val="20"/>
          <w:color w:val="auto"/>
        </w:rPr>
      </w:pPr>
      <w:r>
        <w:rPr>
          <w:rFonts w:ascii="Arial" w:cs="Arial" w:eastAsia="Arial" w:hAnsi="Arial"/>
          <w:sz w:val="17"/>
          <w:szCs w:val="17"/>
          <w:color w:val="auto"/>
        </w:rPr>
        <w:t>Total other expense (income), net for the three months ended March 31, 2026 was $0.2 million, a decrease of $0.4 ended March 31, 2025. The change was primarily due to the net change in our foreign currency exchange gains</w:t>
      </w:r>
    </w:p>
    <w:p>
      <w:pPr>
        <w:spacing w:after="0" w:line="267" w:lineRule="exact"/>
        <w:rPr>
          <w:sz w:val="20"/>
          <w:szCs w:val="20"/>
          <w:color w:val="auto"/>
        </w:rPr>
      </w:pPr>
    </w:p>
    <w:p>
      <w:pPr>
        <w:sectPr>
          <w:pgSz w:w="11900" w:h="16838" w:orient="portrait"/>
          <w:cols w:equalWidth="0" w:num="2">
            <w:col w:w="2320" w:space="60"/>
            <w:col w:w="8860"/>
          </w:cols>
          <w:pgMar w:left="320" w:top="1130" w:right="339" w:bottom="1440" w:gutter="0" w:footer="0" w:header="0"/>
          <w:type w:val="continuous"/>
        </w:sectPr>
      </w:pPr>
    </w:p>
    <w:p>
      <w:pPr>
        <w:jc w:val="both"/>
        <w:spacing w:after="0" w:line="244" w:lineRule="auto"/>
        <w:rPr>
          <w:sz w:val="20"/>
          <w:szCs w:val="20"/>
          <w:color w:val="auto"/>
        </w:rPr>
      </w:pPr>
      <w:r>
        <w:rPr>
          <w:rFonts w:ascii="Arial" w:cs="Arial" w:eastAsia="Arial" w:hAnsi="Arial"/>
          <w:sz w:val="17"/>
          <w:szCs w:val="17"/>
          <w:b w:val="1"/>
          <w:bCs w:val="1"/>
          <w:i w:val="1"/>
          <w:iCs w:val="1"/>
          <w:color w:val="auto"/>
        </w:rPr>
        <w:t xml:space="preserve">Income tax expense (benefit), net </w:t>
      </w:r>
      <w:r>
        <w:rPr>
          <w:rFonts w:ascii="Arial" w:cs="Arial" w:eastAsia="Arial" w:hAnsi="Arial"/>
          <w:sz w:val="17"/>
          <w:szCs w:val="17"/>
          <w:color w:val="auto"/>
        </w:rPr>
        <w:t>Our operations are subject to U.S. federal income tax at an entity level, as well as various state income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franchise taxes. In addition, our operations located in international jurisdictions are subject to local country income taxes. Income tax benefit for the three months ended March 31, 2026 was $4.9 million, a decrease of $11.5 million from the three months ended March 31, 2025. The change was primarily driven by the discrete items recorded during the three months ended March 31, 2026.</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Net income (loss) </w:t>
      </w:r>
      <w:r>
        <w:rPr>
          <w:rFonts w:ascii="Arial" w:cs="Arial" w:eastAsia="Arial" w:hAnsi="Arial"/>
          <w:sz w:val="17"/>
          <w:szCs w:val="17"/>
          <w:color w:val="auto"/>
        </w:rPr>
        <w:t>Net loss for the three months ended March 31, 2026 was $16.7 million, a decrease of $31.5 million from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March 31, 2025, primarily as a result of the provision for legal settlement related to the Impulse Litigation recorded for the three months ended March 31, 2026 in addition to the other factors discussed above.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Our primary sources of liquidity are our existing cash, cash provided by operating activities, and borrowings under the Credit Agreement (as defined below). We have a share repurchase program in place and may repurchase shares from time to time based on management’s evaluation of market conditions, share price, and other factors. As of March 31, 2026, we had cash and restricted cash of $200.7 million and availability under the Credit Agreement of $155.0 million. Our total indebtedness, including finance lease obligations, was $24.2 million as of March 31, 2026.</w:t>
      </w:r>
    </w:p>
    <w:p>
      <w:pPr>
        <w:spacing w:after="0" w:line="9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Our principal liquidity needs have been, and are expected to continue to be, working capital, capital expenditures, debt service and potential mergers and acquisitions. Historically, capital expenditures have been relatively modest, with working capital being the predominant use of cash for the Company during periods of growth. We continuously evaluate our capital expenditures, and the amount we ultimately spend will depend on a number of factors, including, among other things, prevailing economic conditions, market conditions in the oil and natural gas industry, customers’ forecasts, demand volatility, and company initiatives.</w:t>
      </w:r>
    </w:p>
    <w:p>
      <w:pPr>
        <w:spacing w:after="0" w:line="11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We have certain obligations related to debt maturities, finance leases, and operating leases. As of March 31, 2026, we have $23.0 million of minimum non-cancelable lease obligations for the twelve months following March 31, 2026, comprised of $7.6 million of finance lease maturities and $15.4 million of operating lease obligations. We have an additional $70.5 million of minimum non-cancelable lease obligations for the periods after March 31, 2027, comprised of $23.0 million of finance lease maturities and $47.5 million of non-cancelable operating lease obligations. As of March 31, 2026, interest rates on our lease obligations range from 2.88% to 12.00%. In addition, all amounts borrowed, if any, under our Revolver (as defined below) become due and payable in 2030. There were no borrowings on the Credit Agreement as of March 31, 2026. Refer to </w:t>
      </w:r>
      <w:r>
        <w:rPr>
          <w:rFonts w:ascii="Arial" w:cs="Arial" w:eastAsia="Arial" w:hAnsi="Arial"/>
          <w:sz w:val="17"/>
          <w:szCs w:val="17"/>
          <w:i w:val="1"/>
          <w:iCs w:val="1"/>
          <w:color w:val="auto"/>
        </w:rPr>
        <w:t>Note 10. Debt</w:t>
      </w:r>
      <w:r>
        <w:rPr>
          <w:rFonts w:ascii="Arial" w:cs="Arial" w:eastAsia="Arial" w:hAnsi="Arial"/>
          <w:sz w:val="17"/>
          <w:szCs w:val="17"/>
          <w:color w:val="auto"/>
        </w:rPr>
        <w:t xml:space="preserve"> of our Condensed Consolidated Financial Statements included elsewhere in this Quarterly Report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6455410</wp:posOffset>
            </wp:positionH>
            <wp:positionV relativeFrom="paragraph">
              <wp:posOffset>-144145</wp:posOffset>
            </wp:positionV>
            <wp:extent cx="678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8180" cy="8255"/>
                    </a:xfrm>
                    <a:prstGeom prst="rect">
                      <a:avLst/>
                    </a:prstGeom>
                    <a:noFill/>
                  </pic:spPr>
                </pic:pic>
              </a:graphicData>
            </a:graphic>
          </wp:anchor>
        </w:drawing>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believe that our existing cash on hand, cash generated from operations and available capacity under the Revolver will be sufficient to meet our liquidity needs in the short-and long-term. Our ability to satisfy our liquidity requirements depends on our future operating performance, which is affected by prevailing economic conditions, market conditions in the oil and natural gas industry, availability and cost of raw materials, and other factors, many of which are beyond our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March 31,</w:t>
            </w: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7"/>
                <w:szCs w:val="17"/>
                <w:color w:val="auto"/>
              </w:rPr>
            </w:pPr>
          </w:p>
        </w:tc>
        <w:tc>
          <w:tcPr>
            <w:tcW w:w="16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83"/>
        </w:trPr>
        <w:tc>
          <w:tcPr>
            <w:tcW w:w="470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DFF"/>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19,840</w:t>
            </w:r>
          </w:p>
        </w:tc>
        <w:tc>
          <w:tcPr>
            <w:tcW w:w="500" w:type="dxa"/>
            <w:vAlign w:val="bottom"/>
            <w:gridSpan w:val="2"/>
            <w:shd w:val="clear" w:color="auto" w:fill="CCEDFF"/>
          </w:tcPr>
          <w:p>
            <w:pPr>
              <w:jc w:val="right"/>
              <w:ind w:right="32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31,090</w:t>
            </w:r>
          </w:p>
        </w:tc>
        <w:tc>
          <w:tcPr>
            <w:tcW w:w="320" w:type="dxa"/>
            <w:vAlign w:val="bottom"/>
            <w:gridSpan w:val="2"/>
            <w:shd w:val="clear" w:color="auto" w:fill="CCED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(11,250)</w:t>
            </w:r>
          </w:p>
        </w:tc>
        <w:tc>
          <w:tcPr>
            <w:tcW w:w="18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(23,466)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17,841</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4700" w:type="dxa"/>
            <w:vAlign w:val="bottom"/>
            <w:shd w:val="clear" w:color="auto" w:fill="CCEDFF"/>
          </w:tcPr>
          <w:p>
            <w:pPr>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shd w:val="clear" w:color="auto" w:fill="CCEDFF"/>
          </w:tcPr>
          <w:p>
            <w:pPr>
              <w:spacing w:after="0"/>
              <w:rPr>
                <w:sz w:val="16"/>
                <w:szCs w:val="16"/>
                <w:color w:val="auto"/>
              </w:rPr>
            </w:pPr>
          </w:p>
        </w:tc>
        <w:tc>
          <w:tcPr>
            <w:tcW w:w="12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(16,910)</w:t>
            </w:r>
          </w:p>
        </w:tc>
        <w:tc>
          <w:tcPr>
            <w:tcW w:w="100" w:type="dxa"/>
            <w:vAlign w:val="bottom"/>
            <w:shd w:val="clear" w:color="auto" w:fill="CCEDFF"/>
          </w:tcPr>
          <w:p>
            <w:pPr>
              <w:spacing w:after="0"/>
              <w:rPr>
                <w:sz w:val="16"/>
                <w:szCs w:val="16"/>
                <w:color w:val="auto"/>
              </w:rPr>
            </w:pPr>
          </w:p>
        </w:tc>
        <w:tc>
          <w:tcPr>
            <w:tcW w:w="400" w:type="dxa"/>
            <w:vAlign w:val="bottom"/>
            <w:shd w:val="clear" w:color="auto" w:fill="CCEDFF"/>
          </w:tcPr>
          <w:p>
            <w:pPr>
              <w:spacing w:after="0"/>
              <w:rPr>
                <w:sz w:val="16"/>
                <w:szCs w:val="16"/>
                <w:color w:val="auto"/>
              </w:rPr>
            </w:pPr>
          </w:p>
        </w:tc>
        <w:tc>
          <w:tcPr>
            <w:tcW w:w="11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(13,399)</w:t>
            </w:r>
          </w:p>
        </w:tc>
        <w:tc>
          <w:tcPr>
            <w:tcW w:w="12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Arial" w:cs="Arial" w:eastAsia="Arial" w:hAnsi="Arial"/>
                <w:sz w:val="16"/>
                <w:szCs w:val="16"/>
                <w:color w:val="auto"/>
              </w:rPr>
              <w:t>(3,511)</w:t>
            </w:r>
          </w:p>
        </w:tc>
        <w:tc>
          <w:tcPr>
            <w:tcW w:w="180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(618)</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3"/>
        </w:trPr>
        <w:tc>
          <w:tcPr>
            <w:tcW w:w="47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Net decrease in cash and restricted cash</w:t>
            </w:r>
          </w:p>
        </w:tc>
        <w:tc>
          <w:tcPr>
            <w:tcW w:w="320" w:type="dxa"/>
            <w:vAlign w:val="bottom"/>
            <w:shd w:val="clear" w:color="auto" w:fill="CCEDFF"/>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(2,700)</w:t>
            </w:r>
          </w:p>
        </w:tc>
        <w:tc>
          <w:tcPr>
            <w:tcW w:w="500" w:type="dxa"/>
            <w:vAlign w:val="bottom"/>
            <w:gridSpan w:val="2"/>
            <w:shd w:val="clear" w:color="auto" w:fill="CCEDFF"/>
          </w:tcPr>
          <w:p>
            <w:pPr>
              <w:jc w:val="right"/>
              <w:ind w:right="32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(5,162)</w:t>
            </w:r>
          </w:p>
        </w:tc>
        <w:tc>
          <w:tcPr>
            <w:tcW w:w="120" w:type="dxa"/>
            <w:vAlign w:val="bottom"/>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12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2,462</w:t>
            </w:r>
          </w:p>
        </w:tc>
        <w:tc>
          <w:tcPr>
            <w:tcW w:w="18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4700" w:type="dxa"/>
            <w:vAlign w:val="bottom"/>
            <w:shd w:val="clear" w:color="auto" w:fill="CCED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D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1260" w:type="dxa"/>
            <w:vAlign w:val="bottom"/>
            <w:shd w:val="clear" w:color="auto" w:fill="CCEDFF"/>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1680" w:type="dxa"/>
            <w:vAlign w:val="bottom"/>
            <w:shd w:val="clear" w:color="auto" w:fill="CCED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Statements of cash flows for entities with international operations that are local currency functional exclude the effects of the changes in foreign currency exchange rates that occur during any given period, as these are non-cash changes. As a result, changes reflected in certain lines in our Condensed Consolidated Statements of Cash Flows may not reflect the changes in corresponding lines in our Condensed Consolidated Balance Sheets.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Net cash provided by operating activities for the three months ended March 31, 2026 was $19.8 million, a decrease of $11.3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the three months ended March 31, 2025. The change was primarily driven by the following:</w:t>
      </w:r>
    </w:p>
    <w:p>
      <w:pPr>
        <w:ind w:left="1140" w:hanging="383"/>
        <w:spacing w:after="0"/>
        <w:tabs>
          <w:tab w:leader="none" w:pos="114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 decrease in net income of $31.5 million;</w:t>
      </w:r>
    </w:p>
    <w:p>
      <w:pPr>
        <w:spacing w:after="0" w:line="60" w:lineRule="exact"/>
        <w:rPr>
          <w:rFonts w:ascii="Times New Roman" w:cs="Times New Roman" w:eastAsia="Times New Roman" w:hAnsi="Times New Roman"/>
          <w:sz w:val="17"/>
          <w:szCs w:val="17"/>
          <w:color w:val="auto"/>
        </w:rPr>
      </w:pPr>
    </w:p>
    <w:p>
      <w:pPr>
        <w:jc w:val="both"/>
        <w:ind w:left="1140" w:hanging="383"/>
        <w:spacing w:after="0" w:line="243" w:lineRule="auto"/>
        <w:tabs>
          <w:tab w:leader="none" w:pos="114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non-cash adjustments to net income from the comparative period, including an increase in (i) provision for legal settlement related to the Impulse Litigation of $48.8 million, (ii) gains on property, equipment disposals of $2.1 million, (iii) depreciation and amortization expense of $1.3 million, and (iv) stock-based compensation expense of $1.2 million, offset by a decrease in both deferred taxes due to timing differences of $2.6 million and impairment of long-lived assets of $2.9 million; and</w:t>
      </w:r>
    </w:p>
    <w:p>
      <w:pPr>
        <w:spacing w:after="0" w:line="17" w:lineRule="exact"/>
        <w:rPr>
          <w:rFonts w:ascii="Times New Roman" w:cs="Times New Roman" w:eastAsia="Times New Roman" w:hAnsi="Times New Roman"/>
          <w:sz w:val="17"/>
          <w:szCs w:val="17"/>
          <w:color w:val="auto"/>
        </w:rPr>
      </w:pPr>
    </w:p>
    <w:p>
      <w:pPr>
        <w:ind w:left="1140" w:hanging="383"/>
        <w:spacing w:after="0" w:line="266" w:lineRule="auto"/>
        <w:tabs>
          <w:tab w:leader="none" w:pos="114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movement in operating assets and liabilities, net of assets acquired as part of the acquisitions, with the change primarily driven by normal fluctuations in our working capital amounts.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Net cash used in investing activities for the three months ended March 31, 2026 was $5.6 million, a decrease of $17.8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three months ended March 31, 2025. The change was primarily due to the cash used to fund the SCF acquisition of $17.4 million for the three months ended March 31, 2025.</w:t>
      </w: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used in financing activities for the three months ended March 31, 2026 was $16.9 million, an increase of $3.5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three months ended March 31, 2025. The change was primarily due to a decrease in Revolver borrowings, Revolver repayments, and term loan repayments of $9.8 million, offset by an increase in our common stock repurchases of $13.5 million for the three months ended March 31, 2026.</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The Company, as the borrower, entered into the Third Amended and Restated Revolving Credit, Guaranty and Security Agreement, dated as of February 27, 2025, to provide for a revolving credit facility of up to $200.0 million (the “Revolver” or the “Credit Agreement”). The Credit Agreement, among other things, (a) extended the maturity of the agreement from June 10, 2026 to February 27, 2030, (b) increased the maximum revolving amount from $110 million to $200 million, which may, subject to certain conditions, be increased to $250 million, (c) eliminated the term loan commitment, and (d) provided for an applicable margin for interest on the loans to be based on availability, effective as of April 1, 2025. Refer to </w:t>
      </w:r>
      <w:r>
        <w:rPr>
          <w:rFonts w:ascii="Arial" w:cs="Arial" w:eastAsia="Arial" w:hAnsi="Arial"/>
          <w:sz w:val="17"/>
          <w:szCs w:val="17"/>
          <w:i w:val="1"/>
          <w:iCs w:val="1"/>
          <w:color w:val="auto"/>
        </w:rPr>
        <w:t xml:space="preserve">Note 10. Debt </w:t>
      </w:r>
      <w:r>
        <w:rPr>
          <w:rFonts w:ascii="Arial" w:cs="Arial" w:eastAsia="Arial" w:hAnsi="Arial"/>
          <w:sz w:val="17"/>
          <w:szCs w:val="17"/>
          <w:color w:val="auto"/>
        </w:rPr>
        <w:t>of our Condensed Consolidated Financial Statements included elsewhere in this Quarterly Report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692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9290" cy="8890"/>
                    </a:xfrm>
                    <a:prstGeom prst="rect">
                      <a:avLst/>
                    </a:prstGeom>
                    <a:noFill/>
                  </pic:spPr>
                </pic:pic>
              </a:graphicData>
            </a:graphic>
          </wp:anchor>
        </w:drawing>
      </w:r>
    </w:p>
    <w:p>
      <w:pPr>
        <w:spacing w:after="0" w:line="9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Amounts borrowed under the Credit Agreement are subject to an interest rate per annum equal to, at the Company’s option, either (a) an alternate base rate determined as the highest of (i) the base commercial lending rate of PNC Bank, National Association, (ii) the overnight federal funds rate plus 0.5%, and (iii) Daily Simple SOFR (as defined in the Credit Agreement) plus 1% (such base rate to be subject to a 0% floor) or (b) the forward-looking term rate based on the secured overnight financing rate (“SOFR”) for the applicable interest period two business days before such interest period divided by a number equal to 1.00 minus any SOFR reserve percentage (such term rate to be subject to a 0% floor), plus, in each case of clauses (a) and (b) above, an applicable margin based upon availability of the revolving credit line, of 0.50% to 1.00% for swing loans and alternate base rate revolving loans and 1.50% to 2.00% for term SOFR revolving loans. Interest is payable monthly for alternate base rate loans and at the end of the applicable interest period for term SOFR loans (or quarterly if the applicable interest period is longer than three months). The Credit Agreement provides for the issuance of letters of credit, limited to the lesser of total capacity or $10.0 million. As of March 31, 2026 and March 31, 2025, we had no letters of credit outstanding under the Credit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2" w:name="page23"/>
    <w:bookmarkEnd w:id="22"/>
    <w:p>
      <w:pPr>
        <w:jc w:val="both"/>
        <w:spacing w:after="0" w:line="249" w:lineRule="auto"/>
        <w:rPr>
          <w:sz w:val="20"/>
          <w:szCs w:val="20"/>
          <w:color w:val="auto"/>
        </w:rPr>
      </w:pPr>
      <w:r>
        <w:rPr>
          <w:rFonts w:ascii="Arial" w:cs="Arial" w:eastAsia="Arial" w:hAnsi="Arial"/>
          <w:sz w:val="17"/>
          <w:szCs w:val="17"/>
          <w:color w:val="auto"/>
        </w:rPr>
        <w:t>In addition to paying interest on outstanding borrowings under the Credit Agreement, the Company is required to pay a quarterly commitment fee to the lenders under the Credit Agreement equal to 0.25% per annum on the amount by which $200.0 million exceeds the daily unpaid balance of the Revolver plus any swing loans plus any undrawn amount of outstanding letters of credit under the Credit Agreement on any day.</w:t>
      </w:r>
    </w:p>
    <w:p>
      <w:pPr>
        <w:spacing w:after="0" w:line="9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 is subject to various covenants under the Credit Agreement, including limitations on the incurrence of debt, granting of liens, investments, dividends, asset sales, and affiliate transactions. Additionally, if at any time an Event of Default (as defined in the Credit Agreement) has occurred and is continuing or if Excess Availability (as defined in the Credit Agreement) is less than 20%, the Company must maintain a fixed charge coverage ratio of not less than 1.10 to 1.00. As defined by the Credit Agreement, the fixed charge coverage ratio represents the ratio of Adjusted EBITDA (as defined in the Credit Agreement), less certain capital expenditures, dividends, and tax payments, to all scheduled debt payments during the applicable period.</w:t>
      </w:r>
    </w:p>
    <w:p>
      <w:pPr>
        <w:spacing w:after="0" w:line="11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obligations under the Credit Agreement are secured by liens on substantially all of the assets of the Company and certain current and future subsidiaries of the Company and guarantees from certain current and future subsidiaries of the Company (the Company together with such subsidiaries, the “Loan Parties”). The Credit Agreement requires the Company to make mandatory prepayments on the outstanding amount of advances under the Credit Agreement if any Loan Party issues debt other than certain permitted debt or receives proceeds from certain insurance or condemnation claims.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2025 and March 31, 2026, we had $15.6 million and no borrowings outstanding under the Revolver,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define Adjusted EBITDA (a non-GAAP measure) as net income (loss) before interest (income) expense, net, income tax expense (benefit), net, depreciation and amortization, (gain) loss on sale of assets and other expense, net, further adjusted to exclude certain items which we believe are not reflective of our ongoing performance or which are non-cash in nature. Management uses Adjusted EBITDA to assess the profitability of our business operations and to compare our operating performance to our competitors without regard to the impact of financing methods and capital structure and excluding costs that management believes do not reflect our ongoing operating performance, and for this reason we believe this measure will provide useful information to investors. We track Adjusted EBITDA on an absolute dollar basis and as a percentage of revenue, which we refer to as Adjusted EBITDA Margin.</w:t>
      </w:r>
    </w:p>
    <w:p>
      <w:pPr>
        <w:spacing w:after="0" w:line="115"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following table presents a reconciliation of the GAAP financial measure of net income (loss) and net income (loss) as a percentage of revenue to Adjusted EBITDA and Adjusted EBITDA Margin, respectively, for each of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260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3"/>
                <w:szCs w:val="13"/>
                <w:b w:val="1"/>
                <w:bCs w:val="1"/>
                <w:color w:val="auto"/>
              </w:rPr>
              <w:t>Three Months Ended March 31,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vMerge w:val="restart"/>
          </w:tcPr>
          <w:p>
            <w:pPr>
              <w:jc w:val="right"/>
              <w:ind w:right="457"/>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3"/>
                <w:szCs w:val="13"/>
                <w:color w:val="auto"/>
              </w:rPr>
            </w:pPr>
          </w:p>
        </w:tc>
        <w:tc>
          <w:tcPr>
            <w:tcW w:w="1660" w:type="dxa"/>
            <w:vAlign w:val="bottom"/>
            <w:vMerge w:val="restart"/>
          </w:tcPr>
          <w:p>
            <w:pPr>
              <w:jc w:val="right"/>
              <w:ind w:right="55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4660" w:type="dxa"/>
            <w:vAlign w:val="bottom"/>
            <w:vMerge w:val="continue"/>
          </w:tcPr>
          <w:p>
            <w:pPr>
              <w:spacing w:after="0"/>
              <w:rPr>
                <w:sz w:val="11"/>
                <w:szCs w:val="11"/>
                <w:color w:val="auto"/>
              </w:rPr>
            </w:pPr>
          </w:p>
        </w:tc>
        <w:tc>
          <w:tcPr>
            <w:tcW w:w="900" w:type="dxa"/>
            <w:vAlign w:val="bottom"/>
            <w:tcBorders>
              <w:bottom w:val="single" w:sz="8" w:color="auto"/>
            </w:tcBorders>
          </w:tcPr>
          <w:p>
            <w:pPr>
              <w:jc w:val="right"/>
              <w:ind w:right="21"/>
              <w:spacing w:after="0" w:line="129" w:lineRule="exact"/>
              <w:rPr>
                <w:sz w:val="20"/>
                <w:szCs w:val="20"/>
                <w:color w:val="auto"/>
              </w:rPr>
            </w:pPr>
            <w:r>
              <w:rPr>
                <w:rFonts w:ascii="Arial" w:cs="Arial" w:eastAsia="Arial" w:hAnsi="Arial"/>
                <w:sz w:val="13"/>
                <w:szCs w:val="13"/>
                <w:b w:val="1"/>
                <w:bCs w:val="1"/>
                <w:color w:val="auto"/>
              </w:rPr>
              <w:t>2026</w:t>
            </w: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2025</w:t>
            </w: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60" w:type="dxa"/>
            <w:vAlign w:val="bottom"/>
            <w:shd w:val="clear" w:color="auto" w:fill="CCEDFF"/>
          </w:tcPr>
          <w:p>
            <w:pPr>
              <w:spacing w:after="0" w:line="129" w:lineRule="exact"/>
              <w:rPr>
                <w:sz w:val="20"/>
                <w:szCs w:val="20"/>
                <w:color w:val="auto"/>
              </w:rPr>
            </w:pPr>
            <w:r>
              <w:rPr>
                <w:rFonts w:ascii="Arial" w:cs="Arial" w:eastAsia="Arial" w:hAnsi="Arial"/>
                <w:sz w:val="13"/>
                <w:szCs w:val="13"/>
                <w:color w:val="auto"/>
              </w:rPr>
              <w:t>Net income (loss)</w:t>
            </w:r>
          </w:p>
        </w:tc>
        <w:tc>
          <w:tcPr>
            <w:tcW w:w="900" w:type="dxa"/>
            <w:vAlign w:val="bottom"/>
            <w:shd w:val="clear" w:color="auto" w:fill="CCEDFF"/>
          </w:tcPr>
          <w:p>
            <w:pPr>
              <w:jc w:val="right"/>
              <w:ind w:right="78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DFF"/>
          </w:tcPr>
          <w:p>
            <w:pPr>
              <w:jc w:val="right"/>
              <w:ind w:right="77"/>
              <w:spacing w:after="0" w:line="129" w:lineRule="exact"/>
              <w:rPr>
                <w:sz w:val="20"/>
                <w:szCs w:val="20"/>
                <w:color w:val="auto"/>
              </w:rPr>
            </w:pPr>
            <w:r>
              <w:rPr>
                <w:rFonts w:ascii="Arial" w:cs="Arial" w:eastAsia="Arial" w:hAnsi="Arial"/>
                <w:sz w:val="13"/>
                <w:szCs w:val="13"/>
                <w:color w:val="auto"/>
              </w:rPr>
              <w:t>(16,671)</w:t>
            </w:r>
          </w:p>
        </w:tc>
        <w:tc>
          <w:tcPr>
            <w:tcW w:w="1020" w:type="dxa"/>
            <w:vAlign w:val="bottom"/>
            <w:gridSpan w:val="2"/>
            <w:shd w:val="clear" w:color="auto" w:fill="CCEDFF"/>
          </w:tcPr>
          <w:p>
            <w:pPr>
              <w:jc w:val="right"/>
              <w:ind w:right="797"/>
              <w:spacing w:after="0" w:line="129" w:lineRule="exact"/>
              <w:rPr>
                <w:sz w:val="20"/>
                <w:szCs w:val="20"/>
                <w:color w:val="auto"/>
              </w:rPr>
            </w:pPr>
            <w:r>
              <w:rPr>
                <w:rFonts w:ascii="Arial" w:cs="Arial" w:eastAsia="Arial" w:hAnsi="Arial"/>
                <w:sz w:val="13"/>
                <w:szCs w:val="13"/>
                <w:color w:val="auto"/>
              </w:rPr>
              <w:t>$</w:t>
            </w:r>
          </w:p>
        </w:tc>
        <w:tc>
          <w:tcPr>
            <w:tcW w:w="620" w:type="dxa"/>
            <w:vAlign w:val="bottom"/>
            <w:shd w:val="clear" w:color="auto" w:fill="CCEDFF"/>
          </w:tcPr>
          <w:p>
            <w:pPr>
              <w:jc w:val="right"/>
              <w:ind w:right="77"/>
              <w:spacing w:after="0" w:line="129" w:lineRule="exact"/>
              <w:rPr>
                <w:sz w:val="20"/>
                <w:szCs w:val="20"/>
                <w:color w:val="auto"/>
              </w:rPr>
            </w:pPr>
            <w:r>
              <w:rPr>
                <w:rFonts w:ascii="Arial" w:cs="Arial" w:eastAsia="Arial" w:hAnsi="Arial"/>
                <w:sz w:val="13"/>
                <w:szCs w:val="13"/>
                <w:color w:val="auto"/>
              </w:rPr>
              <w:t>14,757</w:t>
            </w:r>
          </w:p>
        </w:tc>
        <w:tc>
          <w:tcPr>
            <w:tcW w:w="340" w:type="dxa"/>
            <w:vAlign w:val="bottom"/>
            <w:gridSpan w:val="2"/>
            <w:shd w:val="clear" w:color="auto" w:fill="CCEDFF"/>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1260" w:type="dxa"/>
            <w:vAlign w:val="bottom"/>
            <w:shd w:val="clear" w:color="auto" w:fill="CCEDFF"/>
          </w:tcPr>
          <w:p>
            <w:pPr>
              <w:jc w:val="right"/>
              <w:ind w:right="17"/>
              <w:spacing w:after="0" w:line="129" w:lineRule="exact"/>
              <w:rPr>
                <w:sz w:val="20"/>
                <w:szCs w:val="20"/>
                <w:color w:val="auto"/>
              </w:rPr>
            </w:pPr>
            <w:r>
              <w:rPr>
                <w:rFonts w:ascii="Arial" w:cs="Arial" w:eastAsia="Arial" w:hAnsi="Arial"/>
                <w:sz w:val="13"/>
                <w:szCs w:val="13"/>
                <w:color w:val="auto"/>
              </w:rPr>
              <w:t>(31,428)</w:t>
            </w:r>
          </w:p>
        </w:tc>
        <w:tc>
          <w:tcPr>
            <w:tcW w:w="1760" w:type="dxa"/>
            <w:vAlign w:val="bottom"/>
            <w:gridSpan w:val="2"/>
            <w:shd w:val="clear" w:color="auto" w:fill="CCEDFF"/>
          </w:tcPr>
          <w:p>
            <w:pPr>
              <w:jc w:val="right"/>
              <w:spacing w:after="0" w:line="129" w:lineRule="exact"/>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35"/>
        </w:trPr>
        <w:tc>
          <w:tcPr>
            <w:tcW w:w="4660" w:type="dxa"/>
            <w:vAlign w:val="bottom"/>
          </w:tcPr>
          <w:p>
            <w:pPr>
              <w:spacing w:after="0" w:line="135" w:lineRule="exact"/>
              <w:rPr>
                <w:sz w:val="20"/>
                <w:szCs w:val="20"/>
                <w:color w:val="auto"/>
              </w:rPr>
            </w:pPr>
            <w:r>
              <w:rPr>
                <w:rFonts w:ascii="Arial" w:cs="Arial" w:eastAsia="Arial" w:hAnsi="Arial"/>
                <w:sz w:val="13"/>
                <w:szCs w:val="13"/>
                <w:color w:val="auto"/>
              </w:rPr>
              <w:t>Interest (income) expense, net</w:t>
            </w:r>
          </w:p>
        </w:tc>
        <w:tc>
          <w:tcPr>
            <w:tcW w:w="900" w:type="dxa"/>
            <w:vAlign w:val="bottom"/>
          </w:tcPr>
          <w:p>
            <w:pPr>
              <w:spacing w:after="0"/>
              <w:rPr>
                <w:sz w:val="11"/>
                <w:szCs w:val="11"/>
                <w:color w:val="auto"/>
              </w:rPr>
            </w:pPr>
          </w:p>
        </w:tc>
        <w:tc>
          <w:tcPr>
            <w:tcW w:w="6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(388)</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700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(1,088)</w:t>
            </w:r>
          </w:p>
        </w:tc>
        <w:tc>
          <w:tcPr>
            <w:tcW w:w="1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35"/>
        </w:trPr>
        <w:tc>
          <w:tcPr>
            <w:tcW w:w="4660" w:type="dxa"/>
            <w:vAlign w:val="bottom"/>
            <w:shd w:val="clear" w:color="auto" w:fill="CCEDFF"/>
          </w:tcPr>
          <w:p>
            <w:pPr>
              <w:spacing w:after="0" w:line="135" w:lineRule="exact"/>
              <w:rPr>
                <w:sz w:val="20"/>
                <w:szCs w:val="20"/>
                <w:color w:val="auto"/>
              </w:rPr>
            </w:pPr>
            <w:r>
              <w:rPr>
                <w:rFonts w:ascii="Arial" w:cs="Arial" w:eastAsia="Arial" w:hAnsi="Arial"/>
                <w:sz w:val="13"/>
                <w:szCs w:val="13"/>
                <w:color w:val="auto"/>
              </w:rPr>
              <w:t>Income tax expense (benefit), net</w:t>
            </w:r>
          </w:p>
        </w:tc>
        <w:tc>
          <w:tcPr>
            <w:tcW w:w="900" w:type="dxa"/>
            <w:vAlign w:val="bottom"/>
            <w:shd w:val="clear" w:color="auto" w:fill="CCEDFF"/>
          </w:tcPr>
          <w:p>
            <w:pPr>
              <w:spacing w:after="0"/>
              <w:rPr>
                <w:sz w:val="11"/>
                <w:szCs w:val="11"/>
                <w:color w:val="auto"/>
              </w:rPr>
            </w:pPr>
          </w:p>
        </w:tc>
        <w:tc>
          <w:tcPr>
            <w:tcW w:w="680" w:type="dxa"/>
            <w:vAlign w:val="bottom"/>
            <w:shd w:val="clear" w:color="auto" w:fill="CCEDFF"/>
          </w:tcPr>
          <w:p>
            <w:pPr>
              <w:jc w:val="right"/>
              <w:ind w:right="77"/>
              <w:spacing w:after="0" w:line="135" w:lineRule="exact"/>
              <w:rPr>
                <w:sz w:val="20"/>
                <w:szCs w:val="20"/>
                <w:color w:val="auto"/>
              </w:rPr>
            </w:pPr>
            <w:r>
              <w:rPr>
                <w:rFonts w:ascii="Arial" w:cs="Arial" w:eastAsia="Arial" w:hAnsi="Arial"/>
                <w:sz w:val="13"/>
                <w:szCs w:val="13"/>
                <w:color w:val="auto"/>
              </w:rPr>
              <w:t>(4,923)</w:t>
            </w:r>
          </w:p>
        </w:tc>
        <w:tc>
          <w:tcPr>
            <w:tcW w:w="100" w:type="dxa"/>
            <w:vAlign w:val="bottom"/>
            <w:shd w:val="clear" w:color="auto" w:fill="CCEDFF"/>
          </w:tcPr>
          <w:p>
            <w:pPr>
              <w:spacing w:after="0"/>
              <w:rPr>
                <w:sz w:val="11"/>
                <w:szCs w:val="11"/>
                <w:color w:val="auto"/>
              </w:rPr>
            </w:pPr>
          </w:p>
        </w:tc>
        <w:tc>
          <w:tcPr>
            <w:tcW w:w="920" w:type="dxa"/>
            <w:vAlign w:val="bottom"/>
            <w:shd w:val="clear" w:color="auto" w:fill="CCEDFF"/>
          </w:tcPr>
          <w:p>
            <w:pPr>
              <w:spacing w:after="0"/>
              <w:rPr>
                <w:sz w:val="11"/>
                <w:szCs w:val="11"/>
                <w:color w:val="auto"/>
              </w:rPr>
            </w:pPr>
          </w:p>
        </w:tc>
        <w:tc>
          <w:tcPr>
            <w:tcW w:w="620" w:type="dxa"/>
            <w:vAlign w:val="bottom"/>
            <w:shd w:val="clear" w:color="auto" w:fill="CCEDFF"/>
          </w:tcPr>
          <w:p>
            <w:pPr>
              <w:jc w:val="right"/>
              <w:ind w:right="77"/>
              <w:spacing w:after="0" w:line="135" w:lineRule="exact"/>
              <w:rPr>
                <w:sz w:val="20"/>
                <w:szCs w:val="20"/>
                <w:color w:val="auto"/>
              </w:rPr>
            </w:pPr>
            <w:r>
              <w:rPr>
                <w:rFonts w:ascii="Arial" w:cs="Arial" w:eastAsia="Arial" w:hAnsi="Arial"/>
                <w:sz w:val="13"/>
                <w:szCs w:val="13"/>
                <w:color w:val="auto"/>
              </w:rPr>
              <w:t>6,607</w:t>
            </w:r>
          </w:p>
        </w:tc>
        <w:tc>
          <w:tcPr>
            <w:tcW w:w="100" w:type="dxa"/>
            <w:vAlign w:val="bottom"/>
            <w:shd w:val="clear" w:color="auto" w:fill="CCEDFF"/>
          </w:tcPr>
          <w:p>
            <w:pPr>
              <w:spacing w:after="0"/>
              <w:rPr>
                <w:sz w:val="11"/>
                <w:szCs w:val="11"/>
                <w:color w:val="auto"/>
              </w:rPr>
            </w:pPr>
          </w:p>
        </w:tc>
        <w:tc>
          <w:tcPr>
            <w:tcW w:w="240" w:type="dxa"/>
            <w:vAlign w:val="bottom"/>
            <w:shd w:val="clear" w:color="auto" w:fill="CCEDFF"/>
          </w:tcPr>
          <w:p>
            <w:pPr>
              <w:spacing w:after="0"/>
              <w:rPr>
                <w:sz w:val="11"/>
                <w:szCs w:val="11"/>
                <w:color w:val="auto"/>
              </w:rPr>
            </w:pPr>
          </w:p>
        </w:tc>
        <w:tc>
          <w:tcPr>
            <w:tcW w:w="1260" w:type="dxa"/>
            <w:vAlign w:val="bottom"/>
            <w:shd w:val="clear" w:color="auto" w:fill="CCEDFF"/>
          </w:tcPr>
          <w:p>
            <w:pPr>
              <w:jc w:val="right"/>
              <w:ind w:right="17"/>
              <w:spacing w:after="0" w:line="135" w:lineRule="exact"/>
              <w:rPr>
                <w:sz w:val="20"/>
                <w:szCs w:val="20"/>
                <w:color w:val="auto"/>
              </w:rPr>
            </w:pPr>
            <w:r>
              <w:rPr>
                <w:rFonts w:ascii="Arial" w:cs="Arial" w:eastAsia="Arial" w:hAnsi="Arial"/>
                <w:sz w:val="13"/>
                <w:szCs w:val="13"/>
                <w:color w:val="auto"/>
              </w:rPr>
              <w:t>(11,530)</w:t>
            </w:r>
          </w:p>
        </w:tc>
        <w:tc>
          <w:tcPr>
            <w:tcW w:w="1760" w:type="dxa"/>
            <w:vAlign w:val="bottom"/>
            <w:gridSpan w:val="2"/>
            <w:shd w:val="clear" w:color="auto" w:fill="CCEDFF"/>
          </w:tcPr>
          <w:p>
            <w:pPr>
              <w:jc w:val="right"/>
              <w:spacing w:after="0" w:line="135" w:lineRule="exact"/>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35"/>
        </w:trPr>
        <w:tc>
          <w:tcPr>
            <w:tcW w:w="4660" w:type="dxa"/>
            <w:vAlign w:val="bottom"/>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9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37"/>
              <w:spacing w:after="0" w:line="135" w:lineRule="exact"/>
              <w:rPr>
                <w:sz w:val="20"/>
                <w:szCs w:val="20"/>
                <w:color w:val="auto"/>
              </w:rPr>
            </w:pPr>
            <w:r>
              <w:rPr>
                <w:rFonts w:ascii="Arial" w:cs="Arial" w:eastAsia="Arial" w:hAnsi="Arial"/>
                <w:sz w:val="13"/>
                <w:szCs w:val="13"/>
                <w:color w:val="auto"/>
              </w:rPr>
              <w:t>16,222</w:t>
            </w:r>
          </w:p>
        </w:tc>
        <w:tc>
          <w:tcPr>
            <w:tcW w:w="1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14,945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1,277</w:t>
            </w:r>
          </w:p>
        </w:tc>
        <w:tc>
          <w:tcPr>
            <w:tcW w:w="1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22"/>
        </w:trPr>
        <w:tc>
          <w:tcPr>
            <w:tcW w:w="4660" w:type="dxa"/>
            <w:vAlign w:val="bottom"/>
          </w:tcPr>
          <w:p>
            <w:pPr>
              <w:spacing w:after="0" w:line="115" w:lineRule="exact"/>
              <w:rPr>
                <w:sz w:val="20"/>
                <w:szCs w:val="20"/>
                <w:color w:val="auto"/>
              </w:rPr>
            </w:pPr>
            <w:r>
              <w:rPr>
                <w:rFonts w:ascii="Arial" w:cs="Arial" w:eastAsia="Arial" w:hAnsi="Arial"/>
                <w:sz w:val="13"/>
                <w:szCs w:val="13"/>
                <w:color w:val="auto"/>
              </w:rPr>
              <w:t>EBITDA</w:t>
            </w:r>
          </w:p>
        </w:tc>
        <w:tc>
          <w:tcPr>
            <w:tcW w:w="9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77"/>
              <w:spacing w:after="0" w:line="115" w:lineRule="exact"/>
              <w:rPr>
                <w:sz w:val="20"/>
                <w:szCs w:val="20"/>
                <w:color w:val="auto"/>
              </w:rPr>
            </w:pPr>
            <w:r>
              <w:rPr>
                <w:rFonts w:ascii="Arial" w:cs="Arial" w:eastAsia="Arial" w:hAnsi="Arial"/>
                <w:sz w:val="13"/>
                <w:szCs w:val="13"/>
                <w:color w:val="auto"/>
              </w:rPr>
              <w:t>(5,760)</w:t>
            </w:r>
          </w:p>
        </w:tc>
        <w:tc>
          <w:tcPr>
            <w:tcW w:w="1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77"/>
              <w:spacing w:after="0" w:line="115" w:lineRule="exact"/>
              <w:rPr>
                <w:sz w:val="20"/>
                <w:szCs w:val="20"/>
                <w:color w:val="auto"/>
              </w:rPr>
            </w:pPr>
            <w:r>
              <w:rPr>
                <w:rFonts w:ascii="Arial" w:cs="Arial" w:eastAsia="Arial" w:hAnsi="Arial"/>
                <w:sz w:val="13"/>
                <w:szCs w:val="13"/>
                <w:color w:val="auto"/>
              </w:rPr>
              <w:t>37,009</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right"/>
              <w:ind w:right="17"/>
              <w:spacing w:after="0" w:line="115" w:lineRule="exact"/>
              <w:rPr>
                <w:sz w:val="20"/>
                <w:szCs w:val="20"/>
                <w:color w:val="auto"/>
              </w:rPr>
            </w:pPr>
            <w:r>
              <w:rPr>
                <w:rFonts w:ascii="Arial" w:cs="Arial" w:eastAsia="Arial" w:hAnsi="Arial"/>
                <w:sz w:val="13"/>
                <w:szCs w:val="13"/>
                <w:color w:val="auto"/>
              </w:rPr>
              <w:t>(42,769)</w:t>
            </w:r>
          </w:p>
        </w:tc>
        <w:tc>
          <w:tcPr>
            <w:tcW w:w="176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35"/>
        </w:trPr>
        <w:tc>
          <w:tcPr>
            <w:tcW w:w="4660" w:type="dxa"/>
            <w:vAlign w:val="bottom"/>
          </w:tcPr>
          <w:p>
            <w:pPr>
              <w:spacing w:after="0" w:line="135" w:lineRule="exact"/>
              <w:rPr>
                <w:sz w:val="20"/>
                <w:szCs w:val="20"/>
                <w:color w:val="auto"/>
              </w:rPr>
            </w:pPr>
            <w:r>
              <w:rPr>
                <w:rFonts w:ascii="Arial" w:cs="Arial" w:eastAsia="Arial" w:hAnsi="Arial"/>
                <w:sz w:val="12"/>
                <w:szCs w:val="12"/>
                <w:color w:val="auto"/>
              </w:rPr>
              <w:t xml:space="preserve">Other non-operating expense (income), net </w:t>
            </w:r>
            <w:r>
              <w:rPr>
                <w:rFonts w:ascii="Arial" w:cs="Arial" w:eastAsia="Arial" w:hAnsi="Arial"/>
                <w:sz w:val="15"/>
                <w:szCs w:val="15"/>
                <w:color w:val="auto"/>
                <w:vertAlign w:val="superscript"/>
              </w:rPr>
              <w:t>(1)</w:t>
            </w:r>
          </w:p>
        </w:tc>
        <w:tc>
          <w:tcPr>
            <w:tcW w:w="90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150</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(214)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364</w:t>
            </w:r>
          </w:p>
        </w:tc>
        <w:tc>
          <w:tcPr>
            <w:tcW w:w="1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35"/>
        </w:trPr>
        <w:tc>
          <w:tcPr>
            <w:tcW w:w="4660" w:type="dxa"/>
            <w:vAlign w:val="bottom"/>
            <w:shd w:val="clear" w:color="auto" w:fill="CCEDFF"/>
          </w:tcPr>
          <w:p>
            <w:pPr>
              <w:spacing w:after="0" w:line="135" w:lineRule="exact"/>
              <w:rPr>
                <w:sz w:val="20"/>
                <w:szCs w:val="20"/>
                <w:color w:val="auto"/>
              </w:rPr>
            </w:pPr>
            <w:r>
              <w:rPr>
                <w:rFonts w:ascii="Arial" w:cs="Arial" w:eastAsia="Arial" w:hAnsi="Arial"/>
                <w:sz w:val="13"/>
                <w:szCs w:val="13"/>
                <w:color w:val="auto"/>
              </w:rPr>
              <w:t>(Gain) loss on sale of assets</w:t>
            </w:r>
          </w:p>
        </w:tc>
        <w:tc>
          <w:tcPr>
            <w:tcW w:w="900" w:type="dxa"/>
            <w:vAlign w:val="bottom"/>
            <w:shd w:val="clear" w:color="auto" w:fill="CCEDFF"/>
          </w:tcPr>
          <w:p>
            <w:pPr>
              <w:spacing w:after="0"/>
              <w:rPr>
                <w:sz w:val="11"/>
                <w:szCs w:val="11"/>
                <w:color w:val="auto"/>
              </w:rPr>
            </w:pPr>
          </w:p>
        </w:tc>
        <w:tc>
          <w:tcPr>
            <w:tcW w:w="680" w:type="dxa"/>
            <w:vAlign w:val="bottom"/>
            <w:shd w:val="clear" w:color="auto" w:fill="CCEDFF"/>
          </w:tcPr>
          <w:p>
            <w:pPr>
              <w:jc w:val="right"/>
              <w:ind w:right="77"/>
              <w:spacing w:after="0" w:line="135" w:lineRule="exact"/>
              <w:rPr>
                <w:sz w:val="20"/>
                <w:szCs w:val="20"/>
                <w:color w:val="auto"/>
              </w:rPr>
            </w:pPr>
            <w:r>
              <w:rPr>
                <w:rFonts w:ascii="Arial" w:cs="Arial" w:eastAsia="Arial" w:hAnsi="Arial"/>
                <w:sz w:val="13"/>
                <w:szCs w:val="13"/>
                <w:color w:val="auto"/>
              </w:rPr>
              <w:t>(2,020)</w:t>
            </w:r>
          </w:p>
        </w:tc>
        <w:tc>
          <w:tcPr>
            <w:tcW w:w="100" w:type="dxa"/>
            <w:vAlign w:val="bottom"/>
            <w:shd w:val="clear" w:color="auto" w:fill="CCEDFF"/>
          </w:tcPr>
          <w:p>
            <w:pPr>
              <w:spacing w:after="0"/>
              <w:rPr>
                <w:sz w:val="11"/>
                <w:szCs w:val="11"/>
                <w:color w:val="auto"/>
              </w:rPr>
            </w:pPr>
          </w:p>
        </w:tc>
        <w:tc>
          <w:tcPr>
            <w:tcW w:w="920" w:type="dxa"/>
            <w:vAlign w:val="bottom"/>
            <w:shd w:val="clear" w:color="auto" w:fill="CCEDFF"/>
          </w:tcPr>
          <w:p>
            <w:pPr>
              <w:spacing w:after="0"/>
              <w:rPr>
                <w:sz w:val="11"/>
                <w:szCs w:val="11"/>
                <w:color w:val="auto"/>
              </w:rPr>
            </w:pPr>
          </w:p>
        </w:tc>
        <w:tc>
          <w:tcPr>
            <w:tcW w:w="620" w:type="dxa"/>
            <w:vAlign w:val="bottom"/>
            <w:shd w:val="clear" w:color="auto" w:fill="CCEDFF"/>
          </w:tcPr>
          <w:p>
            <w:pPr>
              <w:jc w:val="right"/>
              <w:ind w:right="77"/>
              <w:spacing w:after="0" w:line="135" w:lineRule="exact"/>
              <w:rPr>
                <w:sz w:val="20"/>
                <w:szCs w:val="20"/>
                <w:color w:val="auto"/>
              </w:rPr>
            </w:pPr>
            <w:r>
              <w:rPr>
                <w:rFonts w:ascii="Arial" w:cs="Arial" w:eastAsia="Arial" w:hAnsi="Arial"/>
                <w:sz w:val="13"/>
                <w:szCs w:val="13"/>
                <w:color w:val="auto"/>
              </w:rPr>
              <w:t>148</w:t>
            </w:r>
          </w:p>
        </w:tc>
        <w:tc>
          <w:tcPr>
            <w:tcW w:w="100" w:type="dxa"/>
            <w:vAlign w:val="bottom"/>
            <w:shd w:val="clear" w:color="auto" w:fill="CCEDFF"/>
          </w:tcPr>
          <w:p>
            <w:pPr>
              <w:spacing w:after="0"/>
              <w:rPr>
                <w:sz w:val="11"/>
                <w:szCs w:val="11"/>
                <w:color w:val="auto"/>
              </w:rPr>
            </w:pPr>
          </w:p>
        </w:tc>
        <w:tc>
          <w:tcPr>
            <w:tcW w:w="240" w:type="dxa"/>
            <w:vAlign w:val="bottom"/>
            <w:shd w:val="clear" w:color="auto" w:fill="CCEDFF"/>
          </w:tcPr>
          <w:p>
            <w:pPr>
              <w:spacing w:after="0"/>
              <w:rPr>
                <w:sz w:val="11"/>
                <w:szCs w:val="11"/>
                <w:color w:val="auto"/>
              </w:rPr>
            </w:pPr>
          </w:p>
        </w:tc>
        <w:tc>
          <w:tcPr>
            <w:tcW w:w="1260" w:type="dxa"/>
            <w:vAlign w:val="bottom"/>
            <w:shd w:val="clear" w:color="auto" w:fill="CCEDFF"/>
          </w:tcPr>
          <w:p>
            <w:pPr>
              <w:jc w:val="right"/>
              <w:ind w:right="17"/>
              <w:spacing w:after="0" w:line="135" w:lineRule="exact"/>
              <w:rPr>
                <w:sz w:val="20"/>
                <w:szCs w:val="20"/>
                <w:color w:val="auto"/>
              </w:rPr>
            </w:pPr>
            <w:r>
              <w:rPr>
                <w:rFonts w:ascii="Arial" w:cs="Arial" w:eastAsia="Arial" w:hAnsi="Arial"/>
                <w:sz w:val="13"/>
                <w:szCs w:val="13"/>
                <w:color w:val="auto"/>
              </w:rPr>
              <w:t>(2,168)</w:t>
            </w:r>
          </w:p>
        </w:tc>
        <w:tc>
          <w:tcPr>
            <w:tcW w:w="1760" w:type="dxa"/>
            <w:vAlign w:val="bottom"/>
            <w:gridSpan w:val="2"/>
            <w:shd w:val="clear" w:color="auto" w:fill="CCEDFF"/>
          </w:tcPr>
          <w:p>
            <w:pPr>
              <w:jc w:val="right"/>
              <w:spacing w:after="0" w:line="135" w:lineRule="exact"/>
              <w:rPr>
                <w:sz w:val="20"/>
                <w:szCs w:val="20"/>
                <w:color w:val="auto"/>
              </w:rPr>
            </w:pPr>
            <w:r>
              <w:rPr>
                <w:rFonts w:ascii="Arial" w:cs="Arial" w:eastAsia="Arial" w:hAnsi="Arial"/>
                <w:sz w:val="13"/>
                <w:szCs w:val="13"/>
                <w:color w:val="auto"/>
              </w:rPr>
              <w:t>(1,465)%</w:t>
            </w:r>
          </w:p>
        </w:tc>
        <w:tc>
          <w:tcPr>
            <w:tcW w:w="0" w:type="dxa"/>
            <w:vAlign w:val="bottom"/>
          </w:tcPr>
          <w:p>
            <w:pPr>
              <w:spacing w:after="0"/>
              <w:rPr>
                <w:sz w:val="1"/>
                <w:szCs w:val="1"/>
                <w:color w:val="auto"/>
              </w:rPr>
            </w:pPr>
          </w:p>
        </w:tc>
      </w:tr>
      <w:tr>
        <w:trPr>
          <w:trHeight w:val="108"/>
        </w:trPr>
        <w:tc>
          <w:tcPr>
            <w:tcW w:w="4660" w:type="dxa"/>
            <w:vAlign w:val="bottom"/>
          </w:tcPr>
          <w:p>
            <w:pPr>
              <w:spacing w:after="0" w:line="108" w:lineRule="exact"/>
              <w:rPr>
                <w:sz w:val="20"/>
                <w:szCs w:val="20"/>
                <w:color w:val="auto"/>
              </w:rPr>
            </w:pPr>
            <w:r>
              <w:rPr>
                <w:rFonts w:ascii="Arial" w:cs="Arial" w:eastAsia="Arial" w:hAnsi="Arial"/>
                <w:sz w:val="12"/>
                <w:szCs w:val="12"/>
                <w:color w:val="auto"/>
              </w:rPr>
              <w:t>Impairment of long-lived assets</w:t>
            </w:r>
          </w:p>
        </w:tc>
        <w:tc>
          <w:tcPr>
            <w:tcW w:w="900" w:type="dxa"/>
            <w:vAlign w:val="bottom"/>
          </w:tcPr>
          <w:p>
            <w:pPr>
              <w:spacing w:after="0"/>
              <w:rPr>
                <w:sz w:val="9"/>
                <w:szCs w:val="9"/>
                <w:color w:val="auto"/>
              </w:rPr>
            </w:pPr>
          </w:p>
        </w:tc>
        <w:tc>
          <w:tcPr>
            <w:tcW w:w="680" w:type="dxa"/>
            <w:vAlign w:val="bottom"/>
          </w:tcPr>
          <w:p>
            <w:pPr>
              <w:jc w:val="right"/>
              <w:ind w:right="137"/>
              <w:spacing w:after="0" w:line="10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tcPr>
          <w:p>
            <w:pPr>
              <w:jc w:val="right"/>
              <w:ind w:right="77"/>
              <w:spacing w:after="0" w:line="108" w:lineRule="exact"/>
              <w:rPr>
                <w:sz w:val="20"/>
                <w:szCs w:val="20"/>
                <w:color w:val="auto"/>
              </w:rPr>
            </w:pPr>
            <w:r>
              <w:rPr>
                <w:rFonts w:ascii="Arial" w:cs="Arial" w:eastAsia="Arial" w:hAnsi="Arial"/>
                <w:sz w:val="12"/>
                <w:szCs w:val="12"/>
                <w:color w:val="auto"/>
              </w:rPr>
              <w:t>2,924</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jc w:val="right"/>
              <w:ind w:right="17"/>
              <w:spacing w:after="0" w:line="108" w:lineRule="exact"/>
              <w:rPr>
                <w:sz w:val="20"/>
                <w:szCs w:val="20"/>
                <w:color w:val="auto"/>
              </w:rPr>
            </w:pPr>
            <w:r>
              <w:rPr>
                <w:rFonts w:ascii="Arial" w:cs="Arial" w:eastAsia="Arial" w:hAnsi="Arial"/>
                <w:sz w:val="12"/>
                <w:szCs w:val="12"/>
                <w:color w:val="auto"/>
              </w:rPr>
              <w:t>(2,924)</w:t>
            </w:r>
          </w:p>
        </w:tc>
        <w:tc>
          <w:tcPr>
            <w:tcW w:w="1760" w:type="dxa"/>
            <w:vAlign w:val="bottom"/>
            <w:gridSpan w:val="2"/>
          </w:tcPr>
          <w:p>
            <w:pPr>
              <w:jc w:val="right"/>
              <w:ind w:right="117"/>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660" w:type="dxa"/>
            <w:vAlign w:val="bottom"/>
          </w:tcPr>
          <w:p>
            <w:pPr>
              <w:spacing w:after="0" w:line="135" w:lineRule="exact"/>
              <w:rPr>
                <w:sz w:val="20"/>
                <w:szCs w:val="20"/>
                <w:color w:val="auto"/>
              </w:rPr>
            </w:pPr>
            <w:r>
              <w:rPr>
                <w:rFonts w:ascii="Arial" w:cs="Arial" w:eastAsia="Arial" w:hAnsi="Arial"/>
                <w:sz w:val="12"/>
                <w:szCs w:val="12"/>
                <w:color w:val="auto"/>
              </w:rPr>
              <w:t xml:space="preserve">Acquisition and integration costs </w:t>
            </w:r>
            <w:r>
              <w:rPr>
                <w:rFonts w:ascii="Arial" w:cs="Arial" w:eastAsia="Arial" w:hAnsi="Arial"/>
                <w:sz w:val="15"/>
                <w:szCs w:val="15"/>
                <w:color w:val="auto"/>
                <w:vertAlign w:val="superscript"/>
              </w:rPr>
              <w:t>(2)</w:t>
            </w:r>
          </w:p>
        </w:tc>
        <w:tc>
          <w:tcPr>
            <w:tcW w:w="90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1,588</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4,288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(2,700)</w:t>
            </w:r>
          </w:p>
        </w:tc>
        <w:tc>
          <w:tcPr>
            <w:tcW w:w="1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35"/>
        </w:trPr>
        <w:tc>
          <w:tcPr>
            <w:tcW w:w="4660" w:type="dxa"/>
            <w:vAlign w:val="bottom"/>
          </w:tcPr>
          <w:p>
            <w:pPr>
              <w:spacing w:after="0" w:line="135" w:lineRule="exact"/>
              <w:rPr>
                <w:sz w:val="20"/>
                <w:szCs w:val="20"/>
                <w:color w:val="auto"/>
              </w:rPr>
            </w:pPr>
            <w:r>
              <w:rPr>
                <w:rFonts w:ascii="Arial" w:cs="Arial" w:eastAsia="Arial" w:hAnsi="Arial"/>
                <w:sz w:val="12"/>
                <w:szCs w:val="12"/>
                <w:color w:val="auto"/>
              </w:rPr>
              <w:t xml:space="preserve">Provision for legal settlement </w:t>
            </w:r>
            <w:r>
              <w:rPr>
                <w:rFonts w:ascii="Arial" w:cs="Arial" w:eastAsia="Arial" w:hAnsi="Arial"/>
                <w:sz w:val="15"/>
                <w:szCs w:val="15"/>
                <w:color w:val="auto"/>
                <w:vertAlign w:val="superscript"/>
              </w:rPr>
              <w:t>(3)</w:t>
            </w:r>
          </w:p>
        </w:tc>
        <w:tc>
          <w:tcPr>
            <w:tcW w:w="90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48,803</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48,803</w:t>
            </w:r>
          </w:p>
        </w:tc>
        <w:tc>
          <w:tcPr>
            <w:tcW w:w="176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660" w:type="dxa"/>
            <w:vAlign w:val="bottom"/>
          </w:tcPr>
          <w:p>
            <w:pPr>
              <w:spacing w:after="0" w:line="135" w:lineRule="exact"/>
              <w:rPr>
                <w:sz w:val="20"/>
                <w:szCs w:val="20"/>
                <w:color w:val="auto"/>
              </w:rPr>
            </w:pPr>
            <w:r>
              <w:rPr>
                <w:rFonts w:ascii="Arial" w:cs="Arial" w:eastAsia="Arial" w:hAnsi="Arial"/>
                <w:sz w:val="12"/>
                <w:szCs w:val="12"/>
                <w:color w:val="auto"/>
              </w:rPr>
              <w:t xml:space="preserve">Legal defense costs </w:t>
            </w:r>
            <w:r>
              <w:rPr>
                <w:rFonts w:ascii="Arial" w:cs="Arial" w:eastAsia="Arial" w:hAnsi="Arial"/>
                <w:sz w:val="15"/>
                <w:szCs w:val="15"/>
                <w:color w:val="auto"/>
                <w:vertAlign w:val="superscript"/>
              </w:rPr>
              <w:t>(4)</w:t>
            </w:r>
          </w:p>
        </w:tc>
        <w:tc>
          <w:tcPr>
            <w:tcW w:w="90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2,430</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2,430</w:t>
            </w:r>
          </w:p>
        </w:tc>
        <w:tc>
          <w:tcPr>
            <w:tcW w:w="176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660" w:type="dxa"/>
            <w:vAlign w:val="bottom"/>
          </w:tcPr>
          <w:p>
            <w:pPr>
              <w:spacing w:after="0" w:line="162" w:lineRule="exact"/>
              <w:rPr>
                <w:sz w:val="20"/>
                <w:szCs w:val="20"/>
                <w:color w:val="auto"/>
              </w:rPr>
            </w:pPr>
            <w:r>
              <w:rPr>
                <w:rFonts w:ascii="Arial" w:cs="Arial" w:eastAsia="Arial" w:hAnsi="Arial"/>
                <w:sz w:val="13"/>
                <w:szCs w:val="13"/>
                <w:color w:val="auto"/>
              </w:rPr>
              <w:t xml:space="preserve">Transaction costs </w:t>
            </w:r>
            <w:r>
              <w:rPr>
                <w:rFonts w:ascii="Arial" w:cs="Arial" w:eastAsia="Arial" w:hAnsi="Arial"/>
                <w:sz w:val="16"/>
                <w:szCs w:val="16"/>
                <w:color w:val="auto"/>
                <w:vertAlign w:val="superscript"/>
              </w:rPr>
              <w:t>(5)</w:t>
            </w:r>
          </w:p>
        </w:tc>
        <w:tc>
          <w:tcPr>
            <w:tcW w:w="900" w:type="dxa"/>
            <w:vAlign w:val="bottom"/>
          </w:tcPr>
          <w:p>
            <w:pPr>
              <w:spacing w:after="0"/>
              <w:rPr>
                <w:sz w:val="14"/>
                <w:szCs w:val="14"/>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1,128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57"/>
              <w:spacing w:after="0"/>
              <w:rPr>
                <w:sz w:val="20"/>
                <w:szCs w:val="20"/>
                <w:color w:val="auto"/>
              </w:rPr>
            </w:pPr>
            <w:r>
              <w:rPr>
                <w:rFonts w:ascii="Arial" w:cs="Arial" w:eastAsia="Arial" w:hAnsi="Arial"/>
                <w:sz w:val="13"/>
                <w:szCs w:val="13"/>
                <w:color w:val="auto"/>
              </w:rPr>
              <w:t>1,128</w:t>
            </w:r>
          </w:p>
        </w:tc>
        <w:tc>
          <w:tcPr>
            <w:tcW w:w="176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660" w:type="dxa"/>
            <w:vAlign w:val="bottom"/>
            <w:shd w:val="clear" w:color="auto" w:fill="CCEDFF"/>
          </w:tcPr>
          <w:p>
            <w:pPr>
              <w:spacing w:after="0" w:line="135" w:lineRule="exact"/>
              <w:rPr>
                <w:sz w:val="20"/>
                <w:szCs w:val="20"/>
                <w:color w:val="auto"/>
              </w:rPr>
            </w:pPr>
            <w:r>
              <w:rPr>
                <w:rFonts w:ascii="Arial" w:cs="Arial" w:eastAsia="Arial" w:hAnsi="Arial"/>
                <w:sz w:val="13"/>
                <w:szCs w:val="13"/>
                <w:color w:val="auto"/>
              </w:rPr>
              <w:t>Stock-based compensation</w:t>
            </w:r>
          </w:p>
        </w:tc>
        <w:tc>
          <w:tcPr>
            <w:tcW w:w="900" w:type="dxa"/>
            <w:vAlign w:val="bottom"/>
            <w:tcBorders>
              <w:bottom w:val="single" w:sz="8" w:color="auto"/>
            </w:tcBorders>
            <w:shd w:val="clear" w:color="auto" w:fill="CCEDFF"/>
          </w:tcPr>
          <w:p>
            <w:pPr>
              <w:spacing w:after="0"/>
              <w:rPr>
                <w:sz w:val="11"/>
                <w:szCs w:val="11"/>
                <w:color w:val="auto"/>
              </w:rPr>
            </w:pPr>
          </w:p>
        </w:tc>
        <w:tc>
          <w:tcPr>
            <w:tcW w:w="680" w:type="dxa"/>
            <w:vAlign w:val="bottom"/>
            <w:tcBorders>
              <w:bottom w:val="single" w:sz="8" w:color="auto"/>
            </w:tcBorders>
            <w:shd w:val="clear" w:color="auto" w:fill="CCEDFF"/>
          </w:tcPr>
          <w:p>
            <w:pPr>
              <w:jc w:val="right"/>
              <w:ind w:right="137"/>
              <w:spacing w:after="0" w:line="135" w:lineRule="exact"/>
              <w:rPr>
                <w:sz w:val="20"/>
                <w:szCs w:val="20"/>
                <w:color w:val="auto"/>
              </w:rPr>
            </w:pPr>
            <w:r>
              <w:rPr>
                <w:rFonts w:ascii="Arial" w:cs="Arial" w:eastAsia="Arial" w:hAnsi="Arial"/>
                <w:sz w:val="13"/>
                <w:szCs w:val="13"/>
                <w:color w:val="auto"/>
              </w:rPr>
              <w:t>2,967</w:t>
            </w:r>
          </w:p>
        </w:tc>
        <w:tc>
          <w:tcPr>
            <w:tcW w:w="100" w:type="dxa"/>
            <w:vAlign w:val="bottom"/>
            <w:shd w:val="clear" w:color="auto" w:fill="CCEDFF"/>
          </w:tcPr>
          <w:p>
            <w:pPr>
              <w:spacing w:after="0"/>
              <w:rPr>
                <w:sz w:val="11"/>
                <w:szCs w:val="11"/>
                <w:color w:val="auto"/>
              </w:rPr>
            </w:pPr>
          </w:p>
        </w:tc>
        <w:tc>
          <w:tcPr>
            <w:tcW w:w="920" w:type="dxa"/>
            <w:vAlign w:val="bottom"/>
            <w:tcBorders>
              <w:bottom w:val="single" w:sz="8" w:color="auto"/>
            </w:tcBorders>
            <w:shd w:val="clear" w:color="auto" w:fill="CCEDFF"/>
          </w:tcPr>
          <w:p>
            <w:pPr>
              <w:spacing w:after="0"/>
              <w:rPr>
                <w:sz w:val="11"/>
                <w:szCs w:val="11"/>
                <w:color w:val="auto"/>
              </w:rPr>
            </w:pPr>
          </w:p>
        </w:tc>
        <w:tc>
          <w:tcPr>
            <w:tcW w:w="620" w:type="dxa"/>
            <w:vAlign w:val="bottom"/>
            <w:tcBorders>
              <w:bottom w:val="single" w:sz="8" w:color="auto"/>
            </w:tcBorders>
            <w:shd w:val="clear" w:color="auto" w:fill="CCEDFF"/>
          </w:tcPr>
          <w:p>
            <w:pPr>
              <w:jc w:val="right"/>
              <w:ind w:right="77"/>
              <w:spacing w:after="0" w:line="135" w:lineRule="exact"/>
              <w:rPr>
                <w:sz w:val="20"/>
                <w:szCs w:val="20"/>
                <w:color w:val="auto"/>
              </w:rPr>
            </w:pPr>
            <w:r>
              <w:rPr>
                <w:rFonts w:ascii="Arial" w:cs="Arial" w:eastAsia="Arial" w:hAnsi="Arial"/>
                <w:sz w:val="13"/>
                <w:szCs w:val="13"/>
                <w:color w:val="auto"/>
              </w:rPr>
              <w:t>1,766</w:t>
            </w:r>
          </w:p>
        </w:tc>
        <w:tc>
          <w:tcPr>
            <w:tcW w:w="100" w:type="dxa"/>
            <w:vAlign w:val="bottom"/>
            <w:shd w:val="clear" w:color="auto" w:fill="CCEDFF"/>
          </w:tcPr>
          <w:p>
            <w:pPr>
              <w:spacing w:after="0"/>
              <w:rPr>
                <w:sz w:val="11"/>
                <w:szCs w:val="11"/>
                <w:color w:val="auto"/>
              </w:rPr>
            </w:pPr>
          </w:p>
        </w:tc>
        <w:tc>
          <w:tcPr>
            <w:tcW w:w="240" w:type="dxa"/>
            <w:vAlign w:val="bottom"/>
            <w:shd w:val="clear" w:color="auto" w:fill="CCEDFF"/>
          </w:tcPr>
          <w:p>
            <w:pPr>
              <w:spacing w:after="0"/>
              <w:rPr>
                <w:sz w:val="11"/>
                <w:szCs w:val="11"/>
                <w:color w:val="auto"/>
              </w:rPr>
            </w:pPr>
          </w:p>
        </w:tc>
        <w:tc>
          <w:tcPr>
            <w:tcW w:w="1260" w:type="dxa"/>
            <w:vAlign w:val="bottom"/>
            <w:shd w:val="clear" w:color="auto" w:fill="CCEDFF"/>
          </w:tcPr>
          <w:p>
            <w:pPr>
              <w:jc w:val="right"/>
              <w:ind w:right="57"/>
              <w:spacing w:after="0" w:line="135" w:lineRule="exact"/>
              <w:rPr>
                <w:sz w:val="20"/>
                <w:szCs w:val="20"/>
                <w:color w:val="auto"/>
              </w:rPr>
            </w:pPr>
            <w:r>
              <w:rPr>
                <w:rFonts w:ascii="Arial" w:cs="Arial" w:eastAsia="Arial" w:hAnsi="Arial"/>
                <w:sz w:val="13"/>
                <w:szCs w:val="13"/>
                <w:color w:val="auto"/>
              </w:rPr>
              <w:t>1,201</w:t>
            </w:r>
          </w:p>
        </w:tc>
        <w:tc>
          <w:tcPr>
            <w:tcW w:w="1760" w:type="dxa"/>
            <w:vAlign w:val="bottom"/>
            <w:gridSpan w:val="2"/>
            <w:shd w:val="clear" w:color="auto" w:fill="CCEDFF"/>
          </w:tcPr>
          <w:p>
            <w:pPr>
              <w:jc w:val="right"/>
              <w:spacing w:after="0" w:line="135"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28"/>
        </w:trPr>
        <w:tc>
          <w:tcPr>
            <w:tcW w:w="4660" w:type="dxa"/>
            <w:vAlign w:val="bottom"/>
          </w:tcPr>
          <w:p>
            <w:pPr>
              <w:spacing w:after="0" w:line="129" w:lineRule="exact"/>
              <w:rPr>
                <w:sz w:val="20"/>
                <w:szCs w:val="20"/>
                <w:color w:val="auto"/>
              </w:rPr>
            </w:pPr>
            <w:r>
              <w:rPr>
                <w:rFonts w:ascii="Arial" w:cs="Arial" w:eastAsia="Arial" w:hAnsi="Arial"/>
                <w:sz w:val="13"/>
                <w:szCs w:val="13"/>
                <w:color w:val="auto"/>
              </w:rPr>
              <w:t>Adjusted EBITDA</w:t>
            </w:r>
          </w:p>
        </w:tc>
        <w:tc>
          <w:tcPr>
            <w:tcW w:w="9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49,286</w:t>
            </w:r>
          </w:p>
        </w:tc>
        <w:tc>
          <w:tcPr>
            <w:tcW w:w="1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45,921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3,365</w:t>
            </w:r>
          </w:p>
        </w:tc>
        <w:tc>
          <w:tcPr>
            <w:tcW w:w="17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28"/>
        </w:trPr>
        <w:tc>
          <w:tcPr>
            <w:tcW w:w="4660" w:type="dxa"/>
            <w:vAlign w:val="bottom"/>
            <w:tcBorders>
              <w:bottom w:val="single" w:sz="8" w:color="CCEDFF"/>
            </w:tcBorders>
            <w:shd w:val="clear" w:color="auto" w:fill="CCEDFF"/>
          </w:tcPr>
          <w:p>
            <w:pPr>
              <w:spacing w:after="0" w:line="129" w:lineRule="exact"/>
              <w:rPr>
                <w:sz w:val="20"/>
                <w:szCs w:val="20"/>
                <w:color w:val="auto"/>
              </w:rPr>
            </w:pPr>
            <w:r>
              <w:rPr>
                <w:rFonts w:ascii="Arial" w:cs="Arial" w:eastAsia="Arial" w:hAnsi="Arial"/>
                <w:sz w:val="13"/>
                <w:szCs w:val="13"/>
                <w:color w:val="auto"/>
              </w:rPr>
              <w:t>Net income (loss) as a % of revenue</w:t>
            </w:r>
          </w:p>
        </w:tc>
        <w:tc>
          <w:tcPr>
            <w:tcW w:w="900" w:type="dxa"/>
            <w:vAlign w:val="bottom"/>
            <w:tcBorders>
              <w:bottom w:val="single" w:sz="8" w:color="auto"/>
            </w:tcBorders>
            <w:shd w:val="clear" w:color="auto" w:fill="CCEDFF"/>
          </w:tcPr>
          <w:p>
            <w:pPr>
              <w:spacing w:after="0"/>
              <w:rPr>
                <w:sz w:val="11"/>
                <w:szCs w:val="11"/>
                <w:color w:val="auto"/>
              </w:rPr>
            </w:pPr>
          </w:p>
        </w:tc>
        <w:tc>
          <w:tcPr>
            <w:tcW w:w="680" w:type="dxa"/>
            <w:vAlign w:val="bottom"/>
            <w:tcBorders>
              <w:bottom w:val="single" w:sz="8" w:color="auto"/>
            </w:tcBorders>
            <w:shd w:val="clear" w:color="auto" w:fill="CCEDFF"/>
          </w:tcPr>
          <w:p>
            <w:pPr>
              <w:jc w:val="right"/>
              <w:spacing w:after="0" w:line="129" w:lineRule="exact"/>
              <w:rPr>
                <w:sz w:val="20"/>
                <w:szCs w:val="20"/>
                <w:color w:val="auto"/>
              </w:rPr>
            </w:pPr>
            <w:r>
              <w:rPr>
                <w:rFonts w:ascii="Arial" w:cs="Arial" w:eastAsia="Arial" w:hAnsi="Arial"/>
                <w:sz w:val="13"/>
                <w:szCs w:val="13"/>
                <w:color w:val="auto"/>
              </w:rPr>
              <w:t>(7)%</w:t>
            </w:r>
          </w:p>
        </w:tc>
        <w:tc>
          <w:tcPr>
            <w:tcW w:w="100" w:type="dxa"/>
            <w:vAlign w:val="bottom"/>
            <w:tcBorders>
              <w:bottom w:val="single" w:sz="8" w:color="CCEDFF"/>
            </w:tcBorders>
            <w:shd w:val="clear" w:color="auto" w:fill="CCEDFF"/>
          </w:tcPr>
          <w:p>
            <w:pPr>
              <w:spacing w:after="0"/>
              <w:rPr>
                <w:sz w:val="11"/>
                <w:szCs w:val="11"/>
                <w:color w:val="auto"/>
              </w:rPr>
            </w:pPr>
          </w:p>
        </w:tc>
        <w:tc>
          <w:tcPr>
            <w:tcW w:w="920" w:type="dxa"/>
            <w:vAlign w:val="bottom"/>
            <w:tcBorders>
              <w:bottom w:val="single" w:sz="8" w:color="auto"/>
            </w:tcBorders>
            <w:shd w:val="clear" w:color="auto" w:fill="CCEDFF"/>
          </w:tcPr>
          <w:p>
            <w:pPr>
              <w:spacing w:after="0"/>
              <w:rPr>
                <w:sz w:val="11"/>
                <w:szCs w:val="11"/>
                <w:color w:val="auto"/>
              </w:rPr>
            </w:pPr>
          </w:p>
        </w:tc>
        <w:tc>
          <w:tcPr>
            <w:tcW w:w="620" w:type="dxa"/>
            <w:vAlign w:val="bottom"/>
            <w:tcBorders>
              <w:bottom w:val="single" w:sz="8" w:color="auto"/>
            </w:tcBorders>
            <w:shd w:val="clear" w:color="auto" w:fill="CCEDFF"/>
          </w:tcPr>
          <w:p>
            <w:pPr>
              <w:jc w:val="right"/>
              <w:spacing w:after="0" w:line="129" w:lineRule="exact"/>
              <w:rPr>
                <w:sz w:val="20"/>
                <w:szCs w:val="20"/>
                <w:color w:val="auto"/>
              </w:rPr>
            </w:pPr>
            <w:r>
              <w:rPr>
                <w:rFonts w:ascii="Arial" w:cs="Arial" w:eastAsia="Arial" w:hAnsi="Arial"/>
                <w:sz w:val="13"/>
                <w:szCs w:val="13"/>
                <w:color w:val="auto"/>
              </w:rPr>
              <w:t>6%</w:t>
            </w:r>
          </w:p>
        </w:tc>
        <w:tc>
          <w:tcPr>
            <w:tcW w:w="100" w:type="dxa"/>
            <w:vAlign w:val="bottom"/>
            <w:tcBorders>
              <w:bottom w:val="single" w:sz="8" w:color="CCEDFF"/>
            </w:tcBorders>
            <w:shd w:val="clear" w:color="auto" w:fill="CCEDFF"/>
          </w:tcPr>
          <w:p>
            <w:pPr>
              <w:spacing w:after="0"/>
              <w:rPr>
                <w:sz w:val="11"/>
                <w:szCs w:val="11"/>
                <w:color w:val="auto"/>
              </w:rPr>
            </w:pPr>
          </w:p>
        </w:tc>
        <w:tc>
          <w:tcPr>
            <w:tcW w:w="240" w:type="dxa"/>
            <w:vAlign w:val="bottom"/>
            <w:tcBorders>
              <w:bottom w:val="single" w:sz="8" w:color="CCEDFF"/>
            </w:tcBorders>
            <w:shd w:val="clear" w:color="auto" w:fill="CCEDFF"/>
          </w:tcPr>
          <w:p>
            <w:pPr>
              <w:spacing w:after="0"/>
              <w:rPr>
                <w:sz w:val="11"/>
                <w:szCs w:val="11"/>
                <w:color w:val="auto"/>
              </w:rPr>
            </w:pPr>
          </w:p>
        </w:tc>
        <w:tc>
          <w:tcPr>
            <w:tcW w:w="1260" w:type="dxa"/>
            <w:vAlign w:val="bottom"/>
            <w:tcBorders>
              <w:bottom w:val="single" w:sz="8" w:color="CCEDFF"/>
            </w:tcBorders>
            <w:shd w:val="clear" w:color="auto" w:fill="CCEDFF"/>
          </w:tcPr>
          <w:p>
            <w:pPr>
              <w:spacing w:after="0"/>
              <w:rPr>
                <w:sz w:val="11"/>
                <w:szCs w:val="11"/>
                <w:color w:val="auto"/>
              </w:rPr>
            </w:pPr>
          </w:p>
        </w:tc>
        <w:tc>
          <w:tcPr>
            <w:tcW w:w="100" w:type="dxa"/>
            <w:vAlign w:val="bottom"/>
            <w:tcBorders>
              <w:bottom w:val="single" w:sz="8" w:color="CCEDFF"/>
            </w:tcBorders>
            <w:shd w:val="clear" w:color="auto" w:fill="CCEDFF"/>
          </w:tcPr>
          <w:p>
            <w:pPr>
              <w:spacing w:after="0"/>
              <w:rPr>
                <w:sz w:val="11"/>
                <w:szCs w:val="11"/>
                <w:color w:val="auto"/>
              </w:rPr>
            </w:pPr>
          </w:p>
        </w:tc>
        <w:tc>
          <w:tcPr>
            <w:tcW w:w="1660" w:type="dxa"/>
            <w:vAlign w:val="bottom"/>
            <w:tcBorders>
              <w:bottom w:val="single" w:sz="8" w:color="CCEDFF"/>
            </w:tcBorders>
            <w:shd w:val="clear" w:color="auto" w:fill="CCED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60" w:type="dxa"/>
            <w:vAlign w:val="bottom"/>
          </w:tcPr>
          <w:p>
            <w:pPr>
              <w:spacing w:after="0" w:line="129" w:lineRule="exact"/>
              <w:rPr>
                <w:sz w:val="20"/>
                <w:szCs w:val="20"/>
                <w:color w:val="auto"/>
              </w:rPr>
            </w:pPr>
            <w:r>
              <w:rPr>
                <w:rFonts w:ascii="Arial" w:cs="Arial" w:eastAsia="Arial" w:hAnsi="Arial"/>
                <w:sz w:val="13"/>
                <w:szCs w:val="13"/>
                <w:color w:val="auto"/>
              </w:rPr>
              <w:t>Adjusted EBITDA Margin</w:t>
            </w:r>
          </w:p>
        </w:tc>
        <w:tc>
          <w:tcPr>
            <w:tcW w:w="9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-303530</wp:posOffset>
            </wp:positionV>
            <wp:extent cx="93980"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-303530</wp:posOffset>
            </wp:positionV>
            <wp:extent cx="93980" cy="128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-102235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-102235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Primarily represents foreign currency exchange gain/loss, gain/loss on lease terminations, and other non-operating items.</w:t>
      </w:r>
    </w:p>
    <w:p>
      <w:pPr>
        <w:spacing w:after="0" w:line="41" w:lineRule="exact"/>
        <w:rPr>
          <w:rFonts w:ascii="Arial" w:cs="Arial" w:eastAsia="Arial" w:hAnsi="Arial"/>
          <w:sz w:val="18"/>
          <w:szCs w:val="18"/>
          <w:color w:val="auto"/>
          <w:vertAlign w:val="superscript"/>
        </w:rPr>
      </w:pPr>
    </w:p>
    <w:p>
      <w:pPr>
        <w:ind w:left="180" w:right="20" w:hanging="172"/>
        <w:spacing w:after="0" w:line="231" w:lineRule="auto"/>
        <w:tabs>
          <w:tab w:leader="none" w:pos="148"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For the three months ended March 31, 2026, acquisition and integration costs consisted of legal, accounting, advisory fees, move, severance, and other integration costs associated with the recent acquisitions. For the three months ended March 31, 2025, acquisition and integration costs consisted of legal, accounting, advisory fees, move, severance, and other integration costs associated with the Merger, the acquisition of the remaining equity interest in Downhole Well Solutions, LLC ("DWS"), and the acquisition of SCF. These acquisition and integration costs are one-time in nature and represent expenses that we do not view as normal operating expenses necessary to operate our business.</w:t>
      </w:r>
    </w:p>
    <w:p>
      <w:pPr>
        <w:spacing w:after="0" w:line="9"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Includes monetary damages awarded by a jury and estimated future awards related to the Impulse Litigation, which is not reflective of our ongoing operating performance.</w:t>
      </w:r>
    </w:p>
    <w:p>
      <w:pPr>
        <w:spacing w:after="0" w:line="38" w:lineRule="exact"/>
        <w:rPr>
          <w:rFonts w:ascii="Arial" w:cs="Arial" w:eastAsia="Arial" w:hAnsi="Arial"/>
          <w:sz w:val="18"/>
          <w:szCs w:val="18"/>
          <w:color w:val="auto"/>
          <w:vertAlign w:val="superscript"/>
        </w:rPr>
      </w:pPr>
    </w:p>
    <w:p>
      <w:pPr>
        <w:ind w:left="180" w:right="500" w:hanging="172"/>
        <w:spacing w:after="0" w:line="217" w:lineRule="auto"/>
        <w:tabs>
          <w:tab w:leader="none" w:pos="148"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 xml:space="preserve">Reflects legal defense costs associated with the Impulse Litigation, which is not reflective of our ongoing operating performance. These costs are recorded in </w:t>
      </w:r>
      <w:r>
        <w:rPr>
          <w:rFonts w:ascii="Arial" w:cs="Arial" w:eastAsia="Arial" w:hAnsi="Arial"/>
          <w:sz w:val="13"/>
          <w:szCs w:val="13"/>
          <w:i w:val="1"/>
          <w:iCs w:val="1"/>
          <w:color w:val="auto"/>
        </w:rPr>
        <w:t>Selling, general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administrative expenses </w:t>
      </w:r>
      <w:r>
        <w:rPr>
          <w:rFonts w:ascii="Arial" w:cs="Arial" w:eastAsia="Arial" w:hAnsi="Arial"/>
          <w:sz w:val="13"/>
          <w:szCs w:val="13"/>
          <w:color w:val="auto"/>
        </w:rPr>
        <w:t>in our Condensed Consolidated Statements of Operations and Comprehensive Income.</w:t>
      </w:r>
    </w:p>
    <w:p>
      <w:pPr>
        <w:spacing w:after="0" w:line="9"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Reflects transaction costs associated with the secondary offering in February 2026.</w:t>
      </w:r>
    </w:p>
    <w:p>
      <w:pPr>
        <w:spacing w:after="0" w:line="25" w:lineRule="exact"/>
        <w:rPr>
          <w:sz w:val="20"/>
          <w:szCs w:val="20"/>
          <w:color w:val="auto"/>
        </w:rPr>
      </w:pPr>
    </w:p>
    <w:p>
      <w:pPr>
        <w:ind w:left="100" w:hanging="92"/>
        <w:spacing w:after="0"/>
        <w:tabs>
          <w:tab w:leader="none" w:pos="10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not meaningful</w:t>
      </w:r>
    </w:p>
    <w:p>
      <w:pPr>
        <w:spacing w:after="0" w:line="8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Adjusted EBITDA for the three months ended March 31, 2026 was $49.3 million, an increase of $3.4 million from the three months ended March 31, 2025.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Return on Capital Employed</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utilize Return on Capital Employed (“ROCE”) (a non-GAAP measure) to assess the effectiveness of our capital allocation over time and to compare our capital efficiency to our competitors, and for this reason we believe this measure will provide useful information to investors. We define ROCE as income from operations excluding acquisition and integration costs, litigation related expenses not reflective of our ongoing operating performance, and income tax expense (resulting in Adjusted Income from Operations, after tax) divided by average capital employed. Capital employed is defined as the combined values of debt and stockholders’ equity. We revised our definition of ROCE and Adjusted Income from Operations, after tax to exclude litigation related expenses not reflective of our ongoing operating performance, which for the twelve months ended March 31, 2026 is reflective of the costs related to the Impulse Litigation. In particular, we believe that the exclusion of the aforementioned litigation related expenses eliminated in calculating Adjusted Income from Operations, after tax and ROCE provides useful measures for period-to-period comparisons of our business. We did not revise prior years’ Adjusted Income from Operations, after tax or ROCE because there were no other charges similar in nature to these costs.</w:t>
      </w:r>
    </w:p>
    <w:p>
      <w:pPr>
        <w:spacing w:after="0" w:line="1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following table presents a reconciliation of the GAAP financial measure of income from operations to adjusted income from operations, after tax to ROCE for each of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Twelve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March 31,</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7"/>
                <w:szCs w:val="17"/>
                <w:color w:val="auto"/>
              </w:rPr>
            </w:pPr>
          </w:p>
        </w:tc>
        <w:tc>
          <w:tcPr>
            <w:tcW w:w="16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83"/>
        </w:trPr>
        <w:tc>
          <w:tcPr>
            <w:tcW w:w="466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Income from operations</w:t>
            </w:r>
          </w:p>
        </w:tc>
        <w:tc>
          <w:tcPr>
            <w:tcW w:w="300" w:type="dxa"/>
            <w:vAlign w:val="bottom"/>
            <w:shd w:val="clear" w:color="auto" w:fill="CCEDFF"/>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88,943</w:t>
            </w:r>
          </w:p>
        </w:tc>
        <w:tc>
          <w:tcPr>
            <w:tcW w:w="480" w:type="dxa"/>
            <w:vAlign w:val="bottom"/>
            <w:gridSpan w:val="2"/>
            <w:shd w:val="clear" w:color="auto" w:fill="CCEDFF"/>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48,614</w:t>
            </w:r>
          </w:p>
        </w:tc>
        <w:tc>
          <w:tcPr>
            <w:tcW w:w="300" w:type="dxa"/>
            <w:vAlign w:val="bottom"/>
            <w:gridSpan w:val="2"/>
            <w:shd w:val="clear" w:color="auto" w:fill="CCED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40,329</w:t>
            </w:r>
          </w:p>
        </w:tc>
        <w:tc>
          <w:tcPr>
            <w:tcW w:w="178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Plus: Acquisition and integration costs</w:t>
            </w:r>
          </w:p>
        </w:tc>
        <w:tc>
          <w:tcPr>
            <w:tcW w:w="3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14,818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36,815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(21,997)</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9"/>
        </w:trPr>
        <w:tc>
          <w:tcPr>
            <w:tcW w:w="4660" w:type="dxa"/>
            <w:vAlign w:val="bottom"/>
            <w:shd w:val="clear" w:color="auto" w:fill="CCEDFF"/>
          </w:tcPr>
          <w:p>
            <w:pPr>
              <w:spacing w:after="0" w:line="189" w:lineRule="exact"/>
              <w:rPr>
                <w:sz w:val="20"/>
                <w:szCs w:val="20"/>
                <w:color w:val="auto"/>
              </w:rPr>
            </w:pPr>
            <w:r>
              <w:rPr>
                <w:rFonts w:ascii="Arial" w:cs="Arial" w:eastAsia="Arial" w:hAnsi="Arial"/>
                <w:sz w:val="16"/>
                <w:szCs w:val="16"/>
                <w:color w:val="auto"/>
              </w:rPr>
              <w:t xml:space="preserve">Plus: Provision for legal settlement </w:t>
            </w:r>
            <w:r>
              <w:rPr>
                <w:rFonts w:ascii="Arial" w:cs="Arial" w:eastAsia="Arial" w:hAnsi="Arial"/>
                <w:sz w:val="21"/>
                <w:szCs w:val="21"/>
                <w:color w:val="auto"/>
                <w:vertAlign w:val="superscript"/>
              </w:rPr>
              <w:t>(1)</w:t>
            </w:r>
          </w:p>
        </w:tc>
        <w:tc>
          <w:tcPr>
            <w:tcW w:w="300" w:type="dxa"/>
            <w:vAlign w:val="bottom"/>
            <w:shd w:val="clear" w:color="auto" w:fill="CCEDFF"/>
          </w:tcPr>
          <w:p>
            <w:pPr>
              <w:spacing w:after="0"/>
              <w:rPr>
                <w:sz w:val="16"/>
                <w:szCs w:val="16"/>
                <w:color w:val="auto"/>
              </w:rPr>
            </w:pPr>
          </w:p>
        </w:tc>
        <w:tc>
          <w:tcPr>
            <w:tcW w:w="126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48,803</w:t>
            </w:r>
          </w:p>
        </w:tc>
        <w:tc>
          <w:tcPr>
            <w:tcW w:w="100" w:type="dxa"/>
            <w:vAlign w:val="bottom"/>
            <w:shd w:val="clear" w:color="auto" w:fill="CCEDFF"/>
          </w:tcPr>
          <w:p>
            <w:pPr>
              <w:spacing w:after="0"/>
              <w:rPr>
                <w:sz w:val="16"/>
                <w:szCs w:val="16"/>
                <w:color w:val="auto"/>
              </w:rPr>
            </w:pPr>
          </w:p>
        </w:tc>
        <w:tc>
          <w:tcPr>
            <w:tcW w:w="380" w:type="dxa"/>
            <w:vAlign w:val="bottom"/>
            <w:shd w:val="clear" w:color="auto" w:fill="CCEDFF"/>
          </w:tcPr>
          <w:p>
            <w:pPr>
              <w:spacing w:after="0"/>
              <w:rPr>
                <w:sz w:val="16"/>
                <w:szCs w:val="16"/>
                <w:color w:val="auto"/>
              </w:rPr>
            </w:pPr>
          </w:p>
        </w:tc>
        <w:tc>
          <w:tcPr>
            <w:tcW w:w="120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12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48,803</w:t>
            </w:r>
          </w:p>
        </w:tc>
        <w:tc>
          <w:tcPr>
            <w:tcW w:w="1780" w:type="dxa"/>
            <w:vAlign w:val="bottom"/>
            <w:gridSpan w:val="2"/>
            <w:shd w:val="clear" w:color="auto" w:fill="CCED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660" w:type="dxa"/>
            <w:vAlign w:val="bottom"/>
          </w:tcPr>
          <w:p>
            <w:pPr>
              <w:spacing w:after="0" w:line="189" w:lineRule="exact"/>
              <w:rPr>
                <w:sz w:val="20"/>
                <w:szCs w:val="20"/>
                <w:color w:val="auto"/>
              </w:rPr>
            </w:pPr>
            <w:r>
              <w:rPr>
                <w:rFonts w:ascii="Arial" w:cs="Arial" w:eastAsia="Arial" w:hAnsi="Arial"/>
                <w:sz w:val="16"/>
                <w:szCs w:val="16"/>
                <w:color w:val="auto"/>
              </w:rPr>
              <w:t xml:space="preserve">Plus: Legal defense costs </w:t>
            </w:r>
            <w:r>
              <w:rPr>
                <w:rFonts w:ascii="Arial" w:cs="Arial" w:eastAsia="Arial" w:hAnsi="Arial"/>
                <w:sz w:val="21"/>
                <w:szCs w:val="21"/>
                <w:color w:val="auto"/>
                <w:vertAlign w:val="superscript"/>
              </w:rPr>
              <w:t>(1)</w:t>
            </w:r>
          </w:p>
        </w:tc>
        <w:tc>
          <w:tcPr>
            <w:tcW w:w="3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2,430</w:t>
            </w:r>
          </w:p>
        </w:tc>
        <w:tc>
          <w:tcPr>
            <w:tcW w:w="17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Less: Income tax expense</w:t>
            </w:r>
          </w:p>
        </w:tc>
        <w:tc>
          <w:tcPr>
            <w:tcW w:w="30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ind w:right="19"/>
              <w:spacing w:after="0"/>
              <w:rPr>
                <w:sz w:val="20"/>
                <w:szCs w:val="20"/>
                <w:color w:val="auto"/>
              </w:rPr>
            </w:pPr>
            <w:r>
              <w:rPr>
                <w:rFonts w:ascii="Arial" w:cs="Arial" w:eastAsia="Arial" w:hAnsi="Arial"/>
                <w:sz w:val="16"/>
                <w:szCs w:val="16"/>
                <w:color w:val="auto"/>
              </w:rPr>
              <w:t>(33,701)</w:t>
            </w:r>
          </w:p>
        </w:tc>
        <w:tc>
          <w:tcPr>
            <w:tcW w:w="100" w:type="dxa"/>
            <w:vAlign w:val="bottom"/>
            <w:tcBorders>
              <w:bottom w:val="single" w:sz="8" w:color="CCEDFF"/>
            </w:tcBorders>
            <w:shd w:val="clear" w:color="auto" w:fill="CCEDFF"/>
          </w:tcPr>
          <w:p>
            <w:pPr>
              <w:spacing w:after="0"/>
              <w:rPr>
                <w:sz w:val="16"/>
                <w:szCs w:val="16"/>
                <w:color w:val="auto"/>
              </w:rPr>
            </w:pPr>
          </w:p>
        </w:tc>
        <w:tc>
          <w:tcPr>
            <w:tcW w:w="380" w:type="dxa"/>
            <w:vAlign w:val="bottom"/>
            <w:tcBorders>
              <w:bottom w:val="single" w:sz="8" w:color="auto"/>
            </w:tcBorders>
            <w:shd w:val="clear" w:color="auto" w:fill="CCEDFF"/>
          </w:tcPr>
          <w:p>
            <w:pPr>
              <w:spacing w:after="0"/>
              <w:rPr>
                <w:sz w:val="16"/>
                <w:szCs w:val="16"/>
                <w:color w:val="auto"/>
              </w:rPr>
            </w:pPr>
          </w:p>
        </w:tc>
        <w:tc>
          <w:tcPr>
            <w:tcW w:w="120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(3,971)</w:t>
            </w:r>
          </w:p>
        </w:tc>
        <w:tc>
          <w:tcPr>
            <w:tcW w:w="100" w:type="dxa"/>
            <w:vAlign w:val="bottom"/>
            <w:tcBorders>
              <w:bottom w:val="single" w:sz="8" w:color="CCEDFF"/>
            </w:tcBorders>
            <w:shd w:val="clear" w:color="auto" w:fill="CCEDFF"/>
          </w:tcPr>
          <w:p>
            <w:pPr>
              <w:spacing w:after="0"/>
              <w:rPr>
                <w:sz w:val="16"/>
                <w:szCs w:val="16"/>
                <w:color w:val="auto"/>
              </w:rPr>
            </w:pPr>
          </w:p>
        </w:tc>
        <w:tc>
          <w:tcPr>
            <w:tcW w:w="200" w:type="dxa"/>
            <w:vAlign w:val="bottom"/>
            <w:tcBorders>
              <w:bottom w:val="single" w:sz="8" w:color="CCEDFF"/>
            </w:tcBorders>
            <w:shd w:val="clear" w:color="auto" w:fill="CCEDFF"/>
          </w:tcPr>
          <w:p>
            <w:pPr>
              <w:spacing w:after="0"/>
              <w:rPr>
                <w:sz w:val="16"/>
                <w:szCs w:val="16"/>
                <w:color w:val="auto"/>
              </w:rPr>
            </w:pPr>
          </w:p>
        </w:tc>
        <w:tc>
          <w:tcPr>
            <w:tcW w:w="126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6"/>
                <w:szCs w:val="16"/>
                <w:color w:val="auto"/>
              </w:rPr>
              <w:t>(29,730)</w:t>
            </w:r>
          </w:p>
        </w:tc>
        <w:tc>
          <w:tcPr>
            <w:tcW w:w="1780" w:type="dxa"/>
            <w:vAlign w:val="bottom"/>
            <w:tcBorders>
              <w:bottom w:val="single" w:sz="8" w:color="CCEDFF"/>
            </w:tcBorders>
            <w:gridSpan w:val="2"/>
            <w:shd w:val="clear" w:color="auto" w:fill="CCED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183"/>
        </w:trPr>
        <w:tc>
          <w:tcPr>
            <w:tcW w:w="4660" w:type="dxa"/>
            <w:vAlign w:val="bottom"/>
          </w:tcPr>
          <w:p>
            <w:pPr>
              <w:ind w:left="100"/>
              <w:spacing w:after="0" w:line="183" w:lineRule="exact"/>
              <w:rPr>
                <w:sz w:val="20"/>
                <w:szCs w:val="20"/>
                <w:color w:val="auto"/>
              </w:rPr>
            </w:pPr>
            <w:r>
              <w:rPr>
                <w:rFonts w:ascii="Arial" w:cs="Arial" w:eastAsia="Arial" w:hAnsi="Arial"/>
                <w:sz w:val="16"/>
                <w:szCs w:val="16"/>
                <w:color w:val="auto"/>
              </w:rPr>
              <w:t>Adjusted Income from Operations, after tax</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121,293</w:t>
            </w:r>
          </w:p>
        </w:tc>
        <w:tc>
          <w:tcPr>
            <w:tcW w:w="480" w:type="dxa"/>
            <w:vAlign w:val="bottom"/>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81,458</w:t>
            </w:r>
          </w:p>
        </w:tc>
        <w:tc>
          <w:tcPr>
            <w:tcW w:w="30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39,835</w:t>
            </w:r>
          </w:p>
        </w:tc>
        <w:tc>
          <w:tcPr>
            <w:tcW w:w="17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3"/>
        </w:trPr>
        <w:tc>
          <w:tcPr>
            <w:tcW w:w="466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Beginning debt</w:t>
            </w:r>
          </w:p>
        </w:tc>
        <w:tc>
          <w:tcPr>
            <w:tcW w:w="300" w:type="dxa"/>
            <w:vAlign w:val="bottom"/>
            <w:tcBorders>
              <w:top w:val="single" w:sz="8" w:color="auto"/>
            </w:tcBorders>
            <w:shd w:val="clear" w:color="auto" w:fill="CCEDFF"/>
          </w:tcPr>
          <w:p>
            <w:pPr>
              <w:spacing w:after="0"/>
              <w:rPr>
                <w:sz w:val="15"/>
                <w:szCs w:val="15"/>
                <w:color w:val="auto"/>
              </w:rPr>
            </w:pPr>
          </w:p>
        </w:tc>
        <w:tc>
          <w:tcPr>
            <w:tcW w:w="1260" w:type="dxa"/>
            <w:vAlign w:val="bottom"/>
            <w:tcBorders>
              <w:top w:val="single" w:sz="8" w:color="auto"/>
            </w:tcBorders>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25,235</w:t>
            </w:r>
          </w:p>
        </w:tc>
        <w:tc>
          <w:tcPr>
            <w:tcW w:w="100" w:type="dxa"/>
            <w:vAlign w:val="bottom"/>
            <w:shd w:val="clear" w:color="auto" w:fill="CCEDFF"/>
          </w:tcPr>
          <w:p>
            <w:pPr>
              <w:spacing w:after="0"/>
              <w:rPr>
                <w:sz w:val="15"/>
                <w:szCs w:val="15"/>
                <w:color w:val="auto"/>
              </w:rPr>
            </w:pPr>
          </w:p>
        </w:tc>
        <w:tc>
          <w:tcPr>
            <w:tcW w:w="380" w:type="dxa"/>
            <w:vAlign w:val="bottom"/>
            <w:tcBorders>
              <w:top w:val="single" w:sz="8" w:color="auto"/>
            </w:tcBorders>
            <w:shd w:val="clear" w:color="auto" w:fill="CCEDFF"/>
          </w:tcPr>
          <w:p>
            <w:pPr>
              <w:spacing w:after="0"/>
              <w:rPr>
                <w:sz w:val="15"/>
                <w:szCs w:val="15"/>
                <w:color w:val="auto"/>
              </w:rPr>
            </w:pPr>
          </w:p>
        </w:tc>
        <w:tc>
          <w:tcPr>
            <w:tcW w:w="1200" w:type="dxa"/>
            <w:vAlign w:val="bottom"/>
            <w:tcBorders>
              <w:top w:val="single" w:sz="8" w:color="auto"/>
            </w:tcBorders>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43,242</w:t>
            </w:r>
          </w:p>
        </w:tc>
        <w:tc>
          <w:tcPr>
            <w:tcW w:w="100" w:type="dxa"/>
            <w:vAlign w:val="bottom"/>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12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(18,007)</w:t>
            </w:r>
          </w:p>
        </w:tc>
        <w:tc>
          <w:tcPr>
            <w:tcW w:w="178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Beginning equity</w:t>
            </w:r>
          </w:p>
        </w:tc>
        <w:tc>
          <w:tcPr>
            <w:tcW w:w="3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978,376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344,305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634,071</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89"/>
        </w:trPr>
        <w:tc>
          <w:tcPr>
            <w:tcW w:w="4660" w:type="dxa"/>
            <w:vAlign w:val="bottom"/>
            <w:shd w:val="clear" w:color="auto" w:fill="CCEDFF"/>
          </w:tcPr>
          <w:p>
            <w:pPr>
              <w:spacing w:after="0"/>
              <w:rPr>
                <w:sz w:val="20"/>
                <w:szCs w:val="20"/>
                <w:color w:val="auto"/>
              </w:rPr>
            </w:pPr>
            <w:r>
              <w:rPr>
                <w:rFonts w:ascii="Arial" w:cs="Arial" w:eastAsia="Arial" w:hAnsi="Arial"/>
                <w:sz w:val="16"/>
                <w:szCs w:val="16"/>
                <w:color w:val="auto"/>
              </w:rPr>
              <w:t>Ending debt</w:t>
            </w:r>
          </w:p>
        </w:tc>
        <w:tc>
          <w:tcPr>
            <w:tcW w:w="300" w:type="dxa"/>
            <w:vAlign w:val="bottom"/>
            <w:shd w:val="clear" w:color="auto" w:fill="CCEDFF"/>
          </w:tcPr>
          <w:p>
            <w:pPr>
              <w:spacing w:after="0"/>
              <w:rPr>
                <w:sz w:val="16"/>
                <w:szCs w:val="16"/>
                <w:color w:val="auto"/>
              </w:rPr>
            </w:pPr>
          </w:p>
        </w:tc>
        <w:tc>
          <w:tcPr>
            <w:tcW w:w="126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24,212</w:t>
            </w:r>
          </w:p>
        </w:tc>
        <w:tc>
          <w:tcPr>
            <w:tcW w:w="100" w:type="dxa"/>
            <w:vAlign w:val="bottom"/>
            <w:shd w:val="clear" w:color="auto" w:fill="CCEDFF"/>
          </w:tcPr>
          <w:p>
            <w:pPr>
              <w:spacing w:after="0"/>
              <w:rPr>
                <w:sz w:val="16"/>
                <w:szCs w:val="16"/>
                <w:color w:val="auto"/>
              </w:rPr>
            </w:pPr>
          </w:p>
        </w:tc>
        <w:tc>
          <w:tcPr>
            <w:tcW w:w="380" w:type="dxa"/>
            <w:vAlign w:val="bottom"/>
            <w:shd w:val="clear" w:color="auto" w:fill="CCEDFF"/>
          </w:tcPr>
          <w:p>
            <w:pPr>
              <w:spacing w:after="0"/>
              <w:rPr>
                <w:sz w:val="16"/>
                <w:szCs w:val="16"/>
                <w:color w:val="auto"/>
              </w:rPr>
            </w:pPr>
          </w:p>
        </w:tc>
        <w:tc>
          <w:tcPr>
            <w:tcW w:w="120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25,235</w:t>
            </w:r>
          </w:p>
        </w:tc>
        <w:tc>
          <w:tcPr>
            <w:tcW w:w="10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(1,023)</w:t>
            </w:r>
          </w:p>
        </w:tc>
        <w:tc>
          <w:tcPr>
            <w:tcW w:w="178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Ending equity</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1,030,905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978,376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52,529</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2"/>
        </w:trPr>
        <w:tc>
          <w:tcPr>
            <w:tcW w:w="4660" w:type="dxa"/>
            <w:vAlign w:val="bottom"/>
            <w:shd w:val="clear" w:color="auto" w:fill="CCEDFF"/>
          </w:tcPr>
          <w:p>
            <w:pPr>
              <w:ind w:left="100"/>
              <w:spacing w:after="0" w:line="183" w:lineRule="exact"/>
              <w:rPr>
                <w:sz w:val="20"/>
                <w:szCs w:val="20"/>
                <w:color w:val="auto"/>
              </w:rPr>
            </w:pPr>
            <w:r>
              <w:rPr>
                <w:rFonts w:ascii="Arial" w:cs="Arial" w:eastAsia="Arial" w:hAnsi="Arial"/>
                <w:sz w:val="16"/>
                <w:szCs w:val="16"/>
                <w:color w:val="auto"/>
              </w:rPr>
              <w:t>Average capital employed</w:t>
            </w:r>
          </w:p>
        </w:tc>
        <w:tc>
          <w:tcPr>
            <w:tcW w:w="300" w:type="dxa"/>
            <w:vAlign w:val="bottom"/>
            <w:shd w:val="clear" w:color="auto" w:fill="CCEDFF"/>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1,029,364</w:t>
            </w:r>
          </w:p>
        </w:tc>
        <w:tc>
          <w:tcPr>
            <w:tcW w:w="480" w:type="dxa"/>
            <w:vAlign w:val="bottom"/>
            <w:gridSpan w:val="2"/>
            <w:shd w:val="clear" w:color="auto" w:fill="CCEDFF"/>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695,579</w:t>
            </w:r>
          </w:p>
        </w:tc>
        <w:tc>
          <w:tcPr>
            <w:tcW w:w="300" w:type="dxa"/>
            <w:vAlign w:val="bottom"/>
            <w:gridSpan w:val="2"/>
            <w:shd w:val="clear" w:color="auto" w:fill="CCED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333,785</w:t>
            </w:r>
          </w:p>
        </w:tc>
        <w:tc>
          <w:tcPr>
            <w:tcW w:w="178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8"/>
        </w:trPr>
        <w:tc>
          <w:tcPr>
            <w:tcW w:w="4660" w:type="dxa"/>
            <w:vAlign w:val="bottom"/>
            <w:tcBorders>
              <w:top w:val="single" w:sz="8" w:color="CCEDFF"/>
            </w:tcBorders>
          </w:tcPr>
          <w:p>
            <w:pPr>
              <w:spacing w:after="0"/>
              <w:rPr>
                <w:sz w:val="20"/>
                <w:szCs w:val="20"/>
                <w:color w:val="auto"/>
              </w:rPr>
            </w:pPr>
            <w:r>
              <w:rPr>
                <w:rFonts w:ascii="Arial" w:cs="Arial" w:eastAsia="Arial" w:hAnsi="Arial"/>
                <w:sz w:val="16"/>
                <w:szCs w:val="16"/>
                <w:color w:val="auto"/>
              </w:rPr>
              <w:t>ROCE</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D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DFF"/>
            </w:tcBorders>
          </w:tcPr>
          <w:p>
            <w:pPr>
              <w:spacing w:after="0"/>
              <w:rPr>
                <w:sz w:val="18"/>
                <w:szCs w:val="18"/>
                <w:color w:val="auto"/>
              </w:rPr>
            </w:pPr>
          </w:p>
        </w:tc>
        <w:tc>
          <w:tcPr>
            <w:tcW w:w="200" w:type="dxa"/>
            <w:vAlign w:val="bottom"/>
            <w:tcBorders>
              <w:top w:val="single" w:sz="8" w:color="CCEDFF"/>
            </w:tcBorders>
          </w:tcPr>
          <w:p>
            <w:pPr>
              <w:spacing w:after="0"/>
              <w:rPr>
                <w:sz w:val="18"/>
                <w:szCs w:val="18"/>
                <w:color w:val="auto"/>
              </w:rPr>
            </w:pPr>
          </w:p>
        </w:tc>
        <w:tc>
          <w:tcPr>
            <w:tcW w:w="1260" w:type="dxa"/>
            <w:vAlign w:val="bottom"/>
            <w:tcBorders>
              <w:top w:val="single" w:sz="8" w:color="CCEDFF"/>
            </w:tcBorders>
          </w:tcPr>
          <w:p>
            <w:pPr>
              <w:spacing w:after="0"/>
              <w:rPr>
                <w:sz w:val="18"/>
                <w:szCs w:val="18"/>
                <w:color w:val="auto"/>
              </w:rPr>
            </w:pPr>
          </w:p>
        </w:tc>
        <w:tc>
          <w:tcPr>
            <w:tcW w:w="100" w:type="dxa"/>
            <w:vAlign w:val="bottom"/>
            <w:tcBorders>
              <w:top w:val="single" w:sz="8" w:color="CCEDFF"/>
            </w:tcBorders>
          </w:tcPr>
          <w:p>
            <w:pPr>
              <w:spacing w:after="0"/>
              <w:rPr>
                <w:sz w:val="18"/>
                <w:szCs w:val="18"/>
                <w:color w:val="auto"/>
              </w:rPr>
            </w:pPr>
          </w:p>
        </w:tc>
        <w:tc>
          <w:tcPr>
            <w:tcW w:w="1680" w:type="dxa"/>
            <w:vAlign w:val="bottom"/>
            <w:tcBorders>
              <w:top w:val="single" w:sz="8" w:color="CCED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-890270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-890270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-144145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-144145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 w:lineRule="exact"/>
        <w:rPr>
          <w:sz w:val="20"/>
          <w:szCs w:val="20"/>
          <w:color w:val="auto"/>
        </w:rPr>
      </w:pPr>
    </w:p>
    <w:p>
      <w:pPr>
        <w:ind w:left="180" w:right="100" w:hanging="172"/>
        <w:spacing w:after="0" w:line="225" w:lineRule="auto"/>
        <w:tabs>
          <w:tab w:leader="none" w:pos="148"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As defined in our reconciliation of the GAAP financial measure of net income (loss) and net income (loss) as a percentage of revenue to Adjusted EBITDA and Adjusted EBITDA Margin above.</w:t>
      </w:r>
    </w:p>
    <w:p>
      <w:pPr>
        <w:spacing w:after="0" w:line="1" w:lineRule="exact"/>
        <w:rPr>
          <w:sz w:val="20"/>
          <w:szCs w:val="20"/>
          <w:color w:val="auto"/>
        </w:rPr>
      </w:pPr>
    </w:p>
    <w:p>
      <w:pPr>
        <w:ind w:left="100" w:hanging="92"/>
        <w:spacing w:after="0"/>
        <w:tabs>
          <w:tab w:leader="none" w:pos="10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not meaningful</w:t>
      </w:r>
    </w:p>
    <w:p>
      <w:pPr>
        <w:spacing w:after="0" w:line="137" w:lineRule="exact"/>
        <w:rPr>
          <w:sz w:val="20"/>
          <w:szCs w:val="20"/>
          <w:color w:val="auto"/>
        </w:rPr>
      </w:pPr>
    </w:p>
    <w:p>
      <w:pPr>
        <w:ind w:right="1220"/>
        <w:spacing w:after="0" w:line="406" w:lineRule="auto"/>
        <w:rPr>
          <w:sz w:val="20"/>
          <w:szCs w:val="20"/>
          <w:color w:val="auto"/>
        </w:rPr>
      </w:pPr>
      <w:r>
        <w:rPr>
          <w:rFonts w:ascii="Arial" w:cs="Arial" w:eastAsia="Arial" w:hAnsi="Arial"/>
          <w:sz w:val="17"/>
          <w:szCs w:val="17"/>
          <w:color w:val="auto"/>
        </w:rPr>
        <w:t xml:space="preserve">ROCE for the twelve months ended March 31, 2026 was 12%, remaining unchanged from the twelve months ended March 31, 2025. </w:t>
      </w:r>
      <w:r>
        <w:rPr>
          <w:rFonts w:ascii="Arial" w:cs="Arial" w:eastAsia="Arial" w:hAnsi="Arial"/>
          <w:sz w:val="17"/>
          <w:szCs w:val="17"/>
          <w:b w:val="1"/>
          <w:bCs w:val="1"/>
          <w:i w:val="1"/>
          <w:iCs w:val="1"/>
          <w:color w:val="auto"/>
        </w:rPr>
        <w:t>Free Cash Flow</w:t>
      </w:r>
    </w:p>
    <w:p>
      <w:pPr>
        <w:jc w:val="both"/>
        <w:spacing w:after="0" w:line="239" w:lineRule="auto"/>
        <w:rPr>
          <w:sz w:val="20"/>
          <w:szCs w:val="20"/>
          <w:color w:val="auto"/>
        </w:rPr>
      </w:pPr>
      <w:r>
        <w:rPr>
          <w:rFonts w:ascii="Arial" w:cs="Arial" w:eastAsia="Arial" w:hAnsi="Arial"/>
          <w:sz w:val="17"/>
          <w:szCs w:val="17"/>
          <w:color w:val="auto"/>
        </w:rPr>
        <w:t>We also utilize Free Cash Flow (a non-GAAP measure) to evaluate the cash generated by our operations and results of operations. We define Free Cash Flow as net cash provided by operating activities less capital expenditures, as presented in our Condensed Consolidated Statements of Cash Flows. Management believes Free Cash Flow is useful because it demonstrates the cash that was available in the period that was in excess of our needs to fund our capital expenditures. Free Cash Flow does not represent our residual cash flow available for discretionary expenditures, as we have non-discretionary expenditures, including, but not limited to, principal payments required under the terms of our Credit Agreement, which are not deducted in calculating Free Cash Flow.</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following table presents a reconciliation of the GAAP financial measure of net cash provided by operating activities to Free Cash Flow for each of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7"/>
                <w:szCs w:val="17"/>
                <w:color w:val="auto"/>
              </w:rPr>
            </w:pPr>
          </w:p>
        </w:tc>
        <w:tc>
          <w:tcPr>
            <w:tcW w:w="170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83"/>
        </w:trPr>
        <w:tc>
          <w:tcPr>
            <w:tcW w:w="38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200" w:type="dxa"/>
            <w:vAlign w:val="bottom"/>
            <w:gridSpan w:val="2"/>
            <w:shd w:val="clear" w:color="auto" w:fill="CCEDFF"/>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19,840</w:t>
            </w:r>
          </w:p>
        </w:tc>
        <w:tc>
          <w:tcPr>
            <w:tcW w:w="500" w:type="dxa"/>
            <w:vAlign w:val="bottom"/>
            <w:gridSpan w:val="2"/>
            <w:shd w:val="clear" w:color="auto" w:fill="CCEDFF"/>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31,090</w:t>
            </w:r>
          </w:p>
        </w:tc>
        <w:tc>
          <w:tcPr>
            <w:tcW w:w="300" w:type="dxa"/>
            <w:vAlign w:val="bottom"/>
            <w:gridSpan w:val="2"/>
            <w:shd w:val="clear" w:color="auto" w:fill="CCED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(11,250)</w:t>
            </w:r>
          </w:p>
        </w:tc>
        <w:tc>
          <w:tcPr>
            <w:tcW w:w="18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20"/>
                <w:szCs w:val="20"/>
                <w:color w:val="auto"/>
              </w:rPr>
            </w:pPr>
            <w:r>
              <w:rPr>
                <w:rFonts w:ascii="Arial" w:cs="Arial" w:eastAsia="Arial" w:hAnsi="Arial"/>
                <w:sz w:val="16"/>
                <w:szCs w:val="16"/>
                <w:color w:val="auto"/>
              </w:rPr>
              <w:t>Capital expenditures</w:t>
            </w:r>
          </w:p>
        </w:tc>
        <w:tc>
          <w:tcPr>
            <w:tcW w:w="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(5,827)</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1,229</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3"/>
        </w:trPr>
        <w:tc>
          <w:tcPr>
            <w:tcW w:w="38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Free cash flow</w:t>
            </w:r>
          </w:p>
        </w:tc>
        <w:tc>
          <w:tcPr>
            <w:tcW w:w="1200" w:type="dxa"/>
            <w:vAlign w:val="bottom"/>
            <w:gridSpan w:val="2"/>
            <w:shd w:val="clear" w:color="auto" w:fill="CCEDFF"/>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14,013</w:t>
            </w:r>
          </w:p>
        </w:tc>
        <w:tc>
          <w:tcPr>
            <w:tcW w:w="500" w:type="dxa"/>
            <w:vAlign w:val="bottom"/>
            <w:gridSpan w:val="2"/>
            <w:shd w:val="clear" w:color="auto" w:fill="CCEDFF"/>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24,034</w:t>
            </w:r>
          </w:p>
        </w:tc>
        <w:tc>
          <w:tcPr>
            <w:tcW w:w="300" w:type="dxa"/>
            <w:vAlign w:val="bottom"/>
            <w:gridSpan w:val="2"/>
            <w:shd w:val="clear" w:color="auto" w:fill="CCED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(10,021)</w:t>
            </w:r>
          </w:p>
        </w:tc>
        <w:tc>
          <w:tcPr>
            <w:tcW w:w="18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Free Cash Flow for the three months ended March 31, 2026 was $14.0 million, a decrease of $10.0 million from the three months ended March 31, 2025.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BUSINESS SEGMENTS</w:t>
      </w:r>
    </w:p>
    <w:p>
      <w:pPr>
        <w:spacing w:after="0" w:line="1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operate in one reportable segment as our chief operating decision maker (“CODM”) assesses performance and allocates resources based on financial information presented at a consolidated level.</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2026, there have been no significant changes to our critical accounting estimates since our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2. Summary of Significant Accounting Policies</w:t>
      </w:r>
      <w:r>
        <w:rPr>
          <w:rFonts w:ascii="Arial" w:cs="Arial" w:eastAsia="Arial" w:hAnsi="Arial"/>
          <w:sz w:val="17"/>
          <w:szCs w:val="17"/>
          <w:color w:val="auto"/>
        </w:rPr>
        <w:t xml:space="preserve"> of our Condensed Consolidated Financial Statements included elsewhere in this Quarterly Report for a discussion of the recent accounting pronouncements issued by the Financial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-158750</wp:posOffset>
            </wp:positionV>
            <wp:extent cx="25946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94610" cy="88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that would affect the quantitative and qualitative disclosures from the information provided in “</w:t>
      </w:r>
      <w:r>
        <w:rPr>
          <w:rFonts w:ascii="Arial" w:cs="Arial" w:eastAsia="Arial" w:hAnsi="Arial"/>
          <w:sz w:val="17"/>
          <w:szCs w:val="17"/>
          <w:i w:val="1"/>
          <w:iCs w:val="1"/>
          <w:color w:val="auto"/>
        </w:rPr>
        <w:t>Part II, Item 7A.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of our Annual Report.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the end of the fiscal quarter ended </w:t>
      </w:r>
      <w:r>
        <w:rPr>
          <w:rFonts w:ascii="Arial" w:cs="Arial" w:eastAsia="Arial" w:hAnsi="Arial"/>
          <w:sz w:val="17"/>
          <w:szCs w:val="17"/>
          <w:color w:val="231F20"/>
        </w:rPr>
        <w:t>March 31, 2026</w:t>
      </w:r>
      <w:r>
        <w:rPr>
          <w:rFonts w:ascii="Arial" w:cs="Arial" w:eastAsia="Arial" w:hAnsi="Arial"/>
          <w:sz w:val="17"/>
          <w:szCs w:val="17"/>
          <w:color w:val="auto"/>
        </w:rPr>
        <w:t>. Disclosure controls and procedures are designed to provide reasonable assurance that information required to be disclosed in our reports filed or submitted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Based on this evaluation, our Chief Executive Officer and Chief Financial Officer have concluded that as of </w:t>
      </w:r>
      <w:r>
        <w:rPr>
          <w:rFonts w:ascii="Arial" w:cs="Arial" w:eastAsia="Arial" w:hAnsi="Arial"/>
          <w:sz w:val="17"/>
          <w:szCs w:val="17"/>
          <w:color w:val="231F20"/>
        </w:rPr>
        <w:t>March 31, 2026</w:t>
      </w:r>
      <w:r>
        <w:rPr>
          <w:rFonts w:ascii="Arial" w:cs="Arial" w:eastAsia="Arial" w:hAnsi="Arial"/>
          <w:sz w:val="17"/>
          <w:szCs w:val="17"/>
          <w:color w:val="auto"/>
        </w:rPr>
        <w:t>, our disclosure controls and procedures were effective at the reasonable assurance level.</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There were no changes in our internal control over financial reporting identified that occurred during the three months ended March 31, 2026 that have materially affected, or are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II — 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LEGAL PROCEEDINGS</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16. Commitments and Contingencies</w:t>
      </w:r>
      <w:r>
        <w:rPr>
          <w:rFonts w:ascii="Arial" w:cs="Arial" w:eastAsia="Arial" w:hAnsi="Arial"/>
          <w:sz w:val="17"/>
          <w:szCs w:val="17"/>
          <w:color w:val="auto"/>
        </w:rPr>
        <w:t xml:space="preserve"> of our Condensed Consolidated Financial Statements included elsewhere in this Quarterly Report for additional information regarding litigation, claims, and other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-158750</wp:posOffset>
            </wp:positionV>
            <wp:extent cx="21151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addition to the other information set forth in this Quarterly Report, you should carefully consider the risks discussed in our Annual Report and those set forth from time to time in our other filings with the SEC. There have been no material changes in risk factors from those reported in our Annual Report. The risks described in such reports are not the only risks facing us. Additional risks and uncertainties not currently known to us or that we currently deem to be immaterial also may materially and adversely affect our business, financial condition or future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6" w:name="page27"/>
    <w:bookmarkEnd w:id="26"/>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 February 25, 2025, our Board of Directors approved a share repurchase program (the “Share Repurchase Program”) that authorizes repurchases of up to an aggregate of $100 million of shares of common stock of the Company with no specified expiration date. The remaining maximum dollar value of shares that may yet be purchased under the Share Repurchase Program is approximately $76.6 million as of March 31, 2026.</w:t>
      </w:r>
    </w:p>
    <w:p>
      <w:pPr>
        <w:spacing w:after="0" w:line="26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may repurchase shares from time to time in open market transactions, privately negotiated transactions, pursuant to accelerated share repurchase programs or otherwise in accordance with applicable federal securities laws. The timing and amount of the repurchases will be determined by management based on its evaluation of market conditions, share price, and other factors. For the three months ended March 31, 2026, we repurchased shares under our Share Repurchase Program in connection with the sale of common stock of the Company by certain affiliates of Amberjack Capital Partners, L.P., which closed on February 27, 2026.</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2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gridSpan w:val="3"/>
          </w:tcPr>
          <w:p>
            <w:pPr>
              <w:jc w:val="right"/>
              <w:ind w:right="804"/>
              <w:spacing w:after="0"/>
              <w:rPr>
                <w:sz w:val="20"/>
                <w:szCs w:val="20"/>
                <w:color w:val="auto"/>
              </w:rPr>
            </w:pPr>
            <w:r>
              <w:rPr>
                <w:rFonts w:ascii="Arial" w:cs="Arial" w:eastAsia="Arial" w:hAnsi="Arial"/>
                <w:sz w:val="15"/>
                <w:szCs w:val="15"/>
                <w:b w:val="1"/>
                <w:bCs w:val="1"/>
                <w:color w:val="auto"/>
              </w:rPr>
              <w:t>Three Months Ended March 31, 2026</w:t>
            </w: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vMerge w:val="restart"/>
          </w:tcPr>
          <w:p>
            <w:pPr>
              <w:jc w:val="center"/>
              <w:ind w:right="84"/>
              <w:spacing w:after="0"/>
              <w:rPr>
                <w:sz w:val="20"/>
                <w:szCs w:val="20"/>
                <w:color w:val="auto"/>
              </w:rPr>
            </w:pPr>
            <w:r>
              <w:rPr>
                <w:rFonts w:ascii="Arial" w:cs="Arial" w:eastAsia="Arial" w:hAnsi="Arial"/>
                <w:sz w:val="15"/>
                <w:szCs w:val="15"/>
                <w:b w:val="1"/>
                <w:bCs w:val="1"/>
                <w:color w:val="auto"/>
              </w:rPr>
              <w:t>Total Number of Shares</w:t>
            </w:r>
          </w:p>
        </w:tc>
        <w:tc>
          <w:tcPr>
            <w:tcW w:w="2120" w:type="dxa"/>
            <w:vAlign w:val="bottom"/>
            <w:gridSpan w:val="2"/>
          </w:tcPr>
          <w:p>
            <w:pPr>
              <w:jc w:val="center"/>
              <w:spacing w:after="0" w:line="136" w:lineRule="exact"/>
              <w:rPr>
                <w:sz w:val="20"/>
                <w:szCs w:val="20"/>
                <w:color w:val="auto"/>
              </w:rPr>
            </w:pPr>
            <w:r>
              <w:rPr>
                <w:rFonts w:ascii="Arial" w:cs="Arial" w:eastAsia="Arial" w:hAnsi="Arial"/>
                <w:sz w:val="15"/>
                <w:szCs w:val="15"/>
                <w:b w:val="1"/>
                <w:bCs w:val="1"/>
                <w:color w:val="auto"/>
              </w:rPr>
              <w:t>Maximum Dollar Value of</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jc w:val="center"/>
              <w:ind w:right="184"/>
              <w:spacing w:after="0" w:line="162" w:lineRule="exact"/>
              <w:rPr>
                <w:sz w:val="20"/>
                <w:szCs w:val="20"/>
                <w:color w:val="auto"/>
              </w:rPr>
            </w:pPr>
            <w:r>
              <w:rPr>
                <w:rFonts w:ascii="Arial" w:cs="Arial" w:eastAsia="Arial" w:hAnsi="Arial"/>
                <w:sz w:val="15"/>
                <w:szCs w:val="15"/>
                <w:b w:val="1"/>
                <w:bCs w:val="1"/>
                <w:color w:val="auto"/>
              </w:rPr>
              <w:t>Shares that May Yet be</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9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Total Number of 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auto"/>
              </w:rPr>
              <w:t>Average Price Paid per</w:t>
            </w:r>
          </w:p>
        </w:tc>
        <w:tc>
          <w:tcPr>
            <w:tcW w:w="100" w:type="dxa"/>
            <w:vAlign w:val="bottom"/>
          </w:tcPr>
          <w:p>
            <w:pPr>
              <w:spacing w:after="0"/>
              <w:rPr>
                <w:sz w:val="14"/>
                <w:szCs w:val="14"/>
                <w:color w:val="auto"/>
              </w:rPr>
            </w:pPr>
          </w:p>
        </w:tc>
        <w:tc>
          <w:tcPr>
            <w:tcW w:w="2120" w:type="dxa"/>
            <w:vAlign w:val="bottom"/>
          </w:tcPr>
          <w:p>
            <w:pPr>
              <w:jc w:val="center"/>
              <w:ind w:right="84"/>
              <w:spacing w:after="0" w:line="162" w:lineRule="exact"/>
              <w:rPr>
                <w:sz w:val="20"/>
                <w:szCs w:val="20"/>
                <w:color w:val="auto"/>
              </w:rPr>
            </w:pPr>
            <w:r>
              <w:rPr>
                <w:rFonts w:ascii="Arial" w:cs="Arial" w:eastAsia="Arial" w:hAnsi="Arial"/>
                <w:sz w:val="15"/>
                <w:szCs w:val="15"/>
                <w:b w:val="1"/>
                <w:bCs w:val="1"/>
                <w:color w:val="auto"/>
              </w:rPr>
              <w:t>Purchased as Part of</w:t>
            </w:r>
          </w:p>
        </w:tc>
        <w:tc>
          <w:tcPr>
            <w:tcW w:w="200" w:type="dxa"/>
            <w:vAlign w:val="bottom"/>
          </w:tcPr>
          <w:p>
            <w:pPr>
              <w:spacing w:after="0"/>
              <w:rPr>
                <w:sz w:val="14"/>
                <w:szCs w:val="14"/>
                <w:color w:val="auto"/>
              </w:rPr>
            </w:pPr>
          </w:p>
        </w:tc>
        <w:tc>
          <w:tcPr>
            <w:tcW w:w="1920" w:type="dxa"/>
            <w:vAlign w:val="bottom"/>
          </w:tcPr>
          <w:p>
            <w:pPr>
              <w:jc w:val="center"/>
              <w:ind w:right="184"/>
              <w:spacing w:after="0" w:line="162" w:lineRule="exact"/>
              <w:rPr>
                <w:sz w:val="20"/>
                <w:szCs w:val="20"/>
                <w:color w:val="auto"/>
              </w:rPr>
            </w:pPr>
            <w:r>
              <w:rPr>
                <w:rFonts w:ascii="Arial" w:cs="Arial" w:eastAsia="Arial" w:hAnsi="Arial"/>
                <w:sz w:val="15"/>
                <w:szCs w:val="15"/>
                <w:b w:val="1"/>
                <w:bCs w:val="1"/>
                <w:color w:val="auto"/>
              </w:rPr>
              <w:t>Purchased Under the</w:t>
            </w:r>
          </w:p>
        </w:tc>
        <w:tc>
          <w:tcPr>
            <w:tcW w:w="0" w:type="dxa"/>
            <w:vAlign w:val="bottom"/>
          </w:tcPr>
          <w:p>
            <w:pPr>
              <w:spacing w:after="0"/>
              <w:rPr>
                <w:sz w:val="1"/>
                <w:szCs w:val="1"/>
                <w:color w:val="auto"/>
              </w:rPr>
            </w:pPr>
          </w:p>
        </w:tc>
      </w:tr>
      <w:tr>
        <w:trPr>
          <w:trHeight w:val="154"/>
        </w:trPr>
        <w:tc>
          <w:tcPr>
            <w:tcW w:w="2720" w:type="dxa"/>
            <w:vAlign w:val="bottom"/>
          </w:tcPr>
          <w:p>
            <w:pPr>
              <w:spacing w:after="0"/>
              <w:rPr>
                <w:sz w:val="13"/>
                <w:szCs w:val="13"/>
                <w:color w:val="auto"/>
              </w:rPr>
            </w:pPr>
          </w:p>
        </w:tc>
        <w:tc>
          <w:tcPr>
            <w:tcW w:w="1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jc w:val="center"/>
              <w:ind w:right="84"/>
              <w:spacing w:after="0" w:line="154" w:lineRule="exact"/>
              <w:rPr>
                <w:sz w:val="20"/>
                <w:szCs w:val="20"/>
                <w:color w:val="auto"/>
              </w:rPr>
            </w:pPr>
            <w:r>
              <w:rPr>
                <w:rFonts w:ascii="Arial" w:cs="Arial" w:eastAsia="Arial" w:hAnsi="Arial"/>
                <w:sz w:val="15"/>
                <w:szCs w:val="15"/>
                <w:b w:val="1"/>
                <w:bCs w:val="1"/>
                <w:color w:val="auto"/>
              </w:rPr>
              <w:t>Publicly Announced Plans</w:t>
            </w:r>
          </w:p>
        </w:tc>
        <w:tc>
          <w:tcPr>
            <w:tcW w:w="200" w:type="dxa"/>
            <w:vAlign w:val="bottom"/>
          </w:tcPr>
          <w:p>
            <w:pPr>
              <w:spacing w:after="0"/>
              <w:rPr>
                <w:sz w:val="13"/>
                <w:szCs w:val="13"/>
                <w:color w:val="auto"/>
              </w:rPr>
            </w:pPr>
          </w:p>
        </w:tc>
        <w:tc>
          <w:tcPr>
            <w:tcW w:w="1920" w:type="dxa"/>
            <w:vAlign w:val="bottom"/>
          </w:tcPr>
          <w:p>
            <w:pPr>
              <w:jc w:val="center"/>
              <w:ind w:right="184"/>
              <w:spacing w:after="0" w:line="154" w:lineRule="exact"/>
              <w:rPr>
                <w:sz w:val="20"/>
                <w:szCs w:val="20"/>
                <w:color w:val="auto"/>
              </w:rPr>
            </w:pPr>
            <w:r>
              <w:rPr>
                <w:rFonts w:ascii="Arial" w:cs="Arial" w:eastAsia="Arial" w:hAnsi="Arial"/>
                <w:sz w:val="15"/>
                <w:szCs w:val="15"/>
                <w:b w:val="1"/>
                <w:bCs w:val="1"/>
                <w:color w:val="auto"/>
              </w:rPr>
              <w:t>Plans or Programs (in</w:t>
            </w: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1960" w:type="dxa"/>
            <w:vAlign w:val="bottom"/>
          </w:tcPr>
          <w:p>
            <w:pPr>
              <w:jc w:val="right"/>
              <w:ind w:right="504"/>
              <w:spacing w:after="0" w:line="189" w:lineRule="exact"/>
              <w:rPr>
                <w:sz w:val="20"/>
                <w:szCs w:val="20"/>
                <w:color w:val="auto"/>
              </w:rPr>
            </w:pPr>
            <w:r>
              <w:rPr>
                <w:rFonts w:ascii="Arial" w:cs="Arial" w:eastAsia="Arial" w:hAnsi="Arial"/>
                <w:sz w:val="15"/>
                <w:szCs w:val="15"/>
                <w:b w:val="1"/>
                <w:bCs w:val="1"/>
                <w:color w:val="auto"/>
              </w:rPr>
              <w:t xml:space="preserve">Purchased </w:t>
            </w:r>
            <w:r>
              <w:rPr>
                <w:rFonts w:ascii="Arial" w:cs="Arial" w:eastAsia="Arial" w:hAnsi="Arial"/>
                <w:sz w:val="20"/>
                <w:szCs w:val="20"/>
                <w:b w:val="1"/>
                <w:bCs w:val="1"/>
                <w:color w:val="auto"/>
                <w:vertAlign w:val="superscript"/>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ind w:right="824"/>
              <w:spacing w:after="0"/>
              <w:rPr>
                <w:sz w:val="20"/>
                <w:szCs w:val="20"/>
                <w:color w:val="auto"/>
              </w:rPr>
            </w:pPr>
            <w:r>
              <w:rPr>
                <w:rFonts w:ascii="Arial" w:cs="Arial" w:eastAsia="Arial" w:hAnsi="Arial"/>
                <w:sz w:val="15"/>
                <w:szCs w:val="15"/>
                <w:b w:val="1"/>
                <w:bCs w:val="1"/>
                <w:color w:val="auto"/>
              </w:rPr>
              <w:t>Share</w:t>
            </w:r>
          </w:p>
        </w:tc>
        <w:tc>
          <w:tcPr>
            <w:tcW w:w="100" w:type="dxa"/>
            <w:vAlign w:val="bottom"/>
          </w:tcPr>
          <w:p>
            <w:pPr>
              <w:spacing w:after="0"/>
              <w:rPr>
                <w:sz w:val="16"/>
                <w:szCs w:val="16"/>
                <w:color w:val="auto"/>
              </w:rPr>
            </w:pPr>
          </w:p>
        </w:tc>
        <w:tc>
          <w:tcPr>
            <w:tcW w:w="2120" w:type="dxa"/>
            <w:vAlign w:val="bottom"/>
          </w:tcPr>
          <w:p>
            <w:pPr>
              <w:jc w:val="center"/>
              <w:ind w:right="44"/>
              <w:spacing w:after="0" w:line="189" w:lineRule="exact"/>
              <w:rPr>
                <w:sz w:val="20"/>
                <w:szCs w:val="20"/>
                <w:color w:val="auto"/>
              </w:rPr>
            </w:pPr>
            <w:r>
              <w:rPr>
                <w:rFonts w:ascii="Arial" w:cs="Arial" w:eastAsia="Arial" w:hAnsi="Arial"/>
                <w:sz w:val="15"/>
                <w:szCs w:val="15"/>
                <w:b w:val="1"/>
                <w:bCs w:val="1"/>
                <w:color w:val="auto"/>
                <w:w w:val="98"/>
              </w:rPr>
              <w:t xml:space="preserve">or Programs </w:t>
            </w:r>
            <w:r>
              <w:rPr>
                <w:rFonts w:ascii="Arial" w:cs="Arial" w:eastAsia="Arial" w:hAnsi="Arial"/>
                <w:sz w:val="20"/>
                <w:szCs w:val="20"/>
                <w:b w:val="1"/>
                <w:bCs w:val="1"/>
                <w:color w:val="auto"/>
                <w:w w:val="98"/>
                <w:vertAlign w:val="superscript"/>
              </w:rPr>
              <w:t>(2)</w:t>
            </w:r>
          </w:p>
        </w:tc>
        <w:tc>
          <w:tcPr>
            <w:tcW w:w="200" w:type="dxa"/>
            <w:vAlign w:val="bottom"/>
          </w:tcPr>
          <w:p>
            <w:pPr>
              <w:spacing w:after="0"/>
              <w:rPr>
                <w:sz w:val="16"/>
                <w:szCs w:val="16"/>
                <w:color w:val="auto"/>
              </w:rPr>
            </w:pPr>
          </w:p>
        </w:tc>
        <w:tc>
          <w:tcPr>
            <w:tcW w:w="1920" w:type="dxa"/>
            <w:vAlign w:val="bottom"/>
          </w:tcPr>
          <w:p>
            <w:pPr>
              <w:jc w:val="center"/>
              <w:ind w:right="124"/>
              <w:spacing w:after="0" w:line="189" w:lineRule="exact"/>
              <w:rPr>
                <w:sz w:val="20"/>
                <w:szCs w:val="20"/>
                <w:color w:val="auto"/>
              </w:rPr>
            </w:pPr>
            <w:r>
              <w:rPr>
                <w:rFonts w:ascii="Arial" w:cs="Arial" w:eastAsia="Arial" w:hAnsi="Arial"/>
                <w:sz w:val="15"/>
                <w:szCs w:val="15"/>
                <w:b w:val="1"/>
                <w:bCs w:val="1"/>
                <w:color w:val="auto"/>
                <w:w w:val="97"/>
              </w:rPr>
              <w:t xml:space="preserve">millions) </w:t>
            </w:r>
            <w:r>
              <w:rPr>
                <w:rFonts w:ascii="Arial" w:cs="Arial" w:eastAsia="Arial" w:hAnsi="Arial"/>
                <w:sz w:val="20"/>
                <w:szCs w:val="20"/>
                <w:b w:val="1"/>
                <w:bCs w:val="1"/>
                <w:color w:val="auto"/>
                <w:w w:val="97"/>
                <w:vertAlign w:val="superscript"/>
              </w:rPr>
              <w:t>(3)</w:t>
            </w:r>
          </w:p>
        </w:tc>
        <w:tc>
          <w:tcPr>
            <w:tcW w:w="0" w:type="dxa"/>
            <w:vAlign w:val="bottom"/>
          </w:tcPr>
          <w:p>
            <w:pPr>
              <w:spacing w:after="0"/>
              <w:rPr>
                <w:sz w:val="1"/>
                <w:szCs w:val="1"/>
                <w:color w:val="auto"/>
              </w:rPr>
            </w:pPr>
          </w:p>
        </w:tc>
      </w:tr>
      <w:tr>
        <w:trPr>
          <w:trHeight w:val="162"/>
        </w:trPr>
        <w:tc>
          <w:tcPr>
            <w:tcW w:w="272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January 1 - 31, 2026</w:t>
            </w:r>
          </w:p>
        </w:tc>
        <w:tc>
          <w:tcPr>
            <w:tcW w:w="1960" w:type="dxa"/>
            <w:vAlign w:val="bottom"/>
            <w:shd w:val="clear" w:color="auto" w:fill="CCED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20" w:type="dxa"/>
            <w:vAlign w:val="bottom"/>
            <w:gridSpan w:val="2"/>
            <w:shd w:val="clear" w:color="auto" w:fill="CCED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200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DFF"/>
          </w:tcPr>
          <w:p>
            <w:pPr>
              <w:spacing w:after="0"/>
              <w:rPr>
                <w:sz w:val="14"/>
                <w:szCs w:val="14"/>
                <w:color w:val="auto"/>
              </w:rPr>
            </w:pPr>
          </w:p>
        </w:tc>
        <w:tc>
          <w:tcPr>
            <w:tcW w:w="212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DFF"/>
          </w:tcPr>
          <w:p>
            <w:pPr>
              <w:jc w:val="right"/>
              <w:spacing w:after="0" w:line="162" w:lineRule="exact"/>
              <w:rPr>
                <w:sz w:val="20"/>
                <w:szCs w:val="20"/>
                <w:color w:val="auto"/>
              </w:rPr>
            </w:pPr>
            <w:r>
              <w:rPr>
                <w:rFonts w:ascii="Arial" w:cs="Arial" w:eastAsia="Arial" w:hAnsi="Arial"/>
                <w:sz w:val="15"/>
                <w:szCs w:val="15"/>
                <w:color w:val="auto"/>
              </w:rPr>
              <w:t>$</w:t>
            </w:r>
          </w:p>
        </w:tc>
        <w:tc>
          <w:tcPr>
            <w:tcW w:w="192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90.70</w:t>
            </w:r>
          </w:p>
        </w:tc>
        <w:tc>
          <w:tcPr>
            <w:tcW w:w="0" w:type="dxa"/>
            <w:vAlign w:val="bottom"/>
          </w:tcPr>
          <w:p>
            <w:pPr>
              <w:spacing w:after="0"/>
              <w:rPr>
                <w:sz w:val="1"/>
                <w:szCs w:val="1"/>
                <w:color w:val="auto"/>
              </w:rPr>
            </w:pPr>
          </w:p>
        </w:tc>
      </w:tr>
      <w:tr>
        <w:trPr>
          <w:trHeight w:val="162"/>
        </w:trPr>
        <w:tc>
          <w:tcPr>
            <w:tcW w:w="2720" w:type="dxa"/>
            <w:vAlign w:val="bottom"/>
          </w:tcPr>
          <w:p>
            <w:pPr>
              <w:spacing w:after="0" w:line="162" w:lineRule="exact"/>
              <w:rPr>
                <w:sz w:val="20"/>
                <w:szCs w:val="20"/>
                <w:color w:val="auto"/>
              </w:rPr>
            </w:pPr>
            <w:r>
              <w:rPr>
                <w:rFonts w:ascii="Arial" w:cs="Arial" w:eastAsia="Arial" w:hAnsi="Arial"/>
                <w:sz w:val="15"/>
                <w:szCs w:val="15"/>
                <w:color w:val="auto"/>
              </w:rPr>
              <w:t>February 1 - 28, 2026</w:t>
            </w:r>
          </w:p>
        </w:tc>
        <w:tc>
          <w:tcPr>
            <w:tcW w:w="1960" w:type="dxa"/>
            <w:vAlign w:val="bottom"/>
          </w:tcPr>
          <w:p>
            <w:pPr>
              <w:jc w:val="right"/>
              <w:ind w:right="64"/>
              <w:spacing w:after="0" w:line="162" w:lineRule="exact"/>
              <w:rPr>
                <w:sz w:val="20"/>
                <w:szCs w:val="20"/>
                <w:color w:val="auto"/>
              </w:rPr>
            </w:pPr>
            <w:r>
              <w:rPr>
                <w:rFonts w:ascii="Arial" w:cs="Arial" w:eastAsia="Arial" w:hAnsi="Arial"/>
                <w:sz w:val="15"/>
                <w:szCs w:val="15"/>
                <w:color w:val="auto"/>
              </w:rPr>
              <w:t>606,258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24.47</w:t>
            </w:r>
          </w:p>
        </w:tc>
        <w:tc>
          <w:tcPr>
            <w:tcW w:w="22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575,000</w:t>
            </w:r>
          </w:p>
        </w:tc>
        <w:tc>
          <w:tcPr>
            <w:tcW w:w="200" w:type="dxa"/>
            <w:vAlign w:val="bottom"/>
          </w:tcPr>
          <w:p>
            <w:pPr>
              <w:spacing w:after="0"/>
              <w:rPr>
                <w:sz w:val="14"/>
                <w:szCs w:val="14"/>
                <w:color w:val="auto"/>
              </w:rPr>
            </w:pPr>
          </w:p>
        </w:tc>
        <w:tc>
          <w:tcPr>
            <w:tcW w:w="1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76.58</w:t>
            </w:r>
          </w:p>
        </w:tc>
        <w:tc>
          <w:tcPr>
            <w:tcW w:w="0" w:type="dxa"/>
            <w:vAlign w:val="bottom"/>
          </w:tcPr>
          <w:p>
            <w:pPr>
              <w:spacing w:after="0"/>
              <w:rPr>
                <w:sz w:val="1"/>
                <w:szCs w:val="1"/>
                <w:color w:val="auto"/>
              </w:rPr>
            </w:pPr>
          </w:p>
        </w:tc>
      </w:tr>
      <w:tr>
        <w:trPr>
          <w:trHeight w:val="162"/>
        </w:trPr>
        <w:tc>
          <w:tcPr>
            <w:tcW w:w="2720" w:type="dxa"/>
            <w:vAlign w:val="bottom"/>
            <w:tcBorders>
              <w:bottom w:val="single" w:sz="8" w:color="CCEDFF"/>
            </w:tcBorders>
            <w:shd w:val="clear" w:color="auto" w:fill="CCEDFF"/>
          </w:tcPr>
          <w:p>
            <w:pPr>
              <w:spacing w:after="0" w:line="162" w:lineRule="exact"/>
              <w:rPr>
                <w:sz w:val="20"/>
                <w:szCs w:val="20"/>
                <w:color w:val="auto"/>
              </w:rPr>
            </w:pPr>
            <w:r>
              <w:rPr>
                <w:rFonts w:ascii="Arial" w:cs="Arial" w:eastAsia="Arial" w:hAnsi="Arial"/>
                <w:sz w:val="15"/>
                <w:szCs w:val="15"/>
                <w:color w:val="auto"/>
              </w:rPr>
              <w:t>March 1 - 31, 2026</w:t>
            </w:r>
          </w:p>
        </w:tc>
        <w:tc>
          <w:tcPr>
            <w:tcW w:w="1960" w:type="dxa"/>
            <w:vAlign w:val="bottom"/>
            <w:tcBorders>
              <w:bottom w:val="single" w:sz="8" w:color="auto"/>
            </w:tcBorders>
            <w:shd w:val="clear" w:color="auto" w:fill="CCED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CCEDFF"/>
            </w:tcBorders>
            <w:shd w:val="clear" w:color="auto" w:fill="CCEDFF"/>
          </w:tcPr>
          <w:p>
            <w:pPr>
              <w:spacing w:after="0"/>
              <w:rPr>
                <w:sz w:val="14"/>
                <w:szCs w:val="14"/>
                <w:color w:val="auto"/>
              </w:rPr>
            </w:pPr>
          </w:p>
        </w:tc>
        <w:tc>
          <w:tcPr>
            <w:tcW w:w="100" w:type="dxa"/>
            <w:vAlign w:val="bottom"/>
            <w:tcBorders>
              <w:bottom w:val="single" w:sz="8" w:color="auto"/>
            </w:tcBorders>
            <w:shd w:val="clear" w:color="auto" w:fill="CCEDFF"/>
          </w:tcPr>
          <w:p>
            <w:pPr>
              <w:spacing w:after="0"/>
              <w:rPr>
                <w:sz w:val="14"/>
                <w:szCs w:val="14"/>
                <w:color w:val="auto"/>
              </w:rPr>
            </w:pPr>
          </w:p>
        </w:tc>
        <w:tc>
          <w:tcPr>
            <w:tcW w:w="200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CCEDFF"/>
            </w:tcBorders>
            <w:shd w:val="clear" w:color="auto" w:fill="CCEDFF"/>
          </w:tcPr>
          <w:p>
            <w:pPr>
              <w:spacing w:after="0"/>
              <w:rPr>
                <w:sz w:val="14"/>
                <w:szCs w:val="14"/>
                <w:color w:val="auto"/>
              </w:rPr>
            </w:pPr>
          </w:p>
        </w:tc>
        <w:tc>
          <w:tcPr>
            <w:tcW w:w="212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CCEDFF"/>
            </w:tcBorders>
            <w:shd w:val="clear" w:color="auto" w:fill="CCEDFF"/>
          </w:tcPr>
          <w:p>
            <w:pPr>
              <w:spacing w:after="0"/>
              <w:rPr>
                <w:sz w:val="14"/>
                <w:szCs w:val="14"/>
                <w:color w:val="auto"/>
              </w:rPr>
            </w:pPr>
          </w:p>
        </w:tc>
        <w:tc>
          <w:tcPr>
            <w:tcW w:w="1920" w:type="dxa"/>
            <w:vAlign w:val="bottom"/>
            <w:tcBorders>
              <w:bottom w:val="single" w:sz="8" w:color="CCEDFF"/>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76.58</w:t>
            </w: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960" w:type="dxa"/>
            <w:vAlign w:val="bottom"/>
          </w:tcPr>
          <w:p>
            <w:pPr>
              <w:jc w:val="right"/>
              <w:ind w:right="64"/>
              <w:spacing w:after="0" w:line="156" w:lineRule="exact"/>
              <w:rPr>
                <w:sz w:val="20"/>
                <w:szCs w:val="20"/>
                <w:color w:val="auto"/>
              </w:rPr>
            </w:pPr>
            <w:r>
              <w:rPr>
                <w:rFonts w:ascii="Arial" w:cs="Arial" w:eastAsia="Arial" w:hAnsi="Arial"/>
                <w:sz w:val="15"/>
                <w:szCs w:val="15"/>
                <w:b w:val="1"/>
                <w:bCs w:val="1"/>
                <w:color w:val="auto"/>
              </w:rPr>
              <w:t>606,258</w:t>
            </w:r>
          </w:p>
        </w:tc>
        <w:tc>
          <w:tcPr>
            <w:tcW w:w="220" w:type="dxa"/>
            <w:vAlign w:val="bottom"/>
            <w:gridSpan w:val="2"/>
          </w:tcPr>
          <w:p>
            <w:pPr>
              <w:jc w:val="right"/>
              <w:ind w:right="20"/>
              <w:spacing w:after="0" w:line="156" w:lineRule="exact"/>
              <w:rPr>
                <w:sz w:val="20"/>
                <w:szCs w:val="20"/>
                <w:color w:val="auto"/>
              </w:rPr>
            </w:pPr>
            <w:r>
              <w:rPr>
                <w:rFonts w:ascii="Arial" w:cs="Arial" w:eastAsia="Arial" w:hAnsi="Arial"/>
                <w:sz w:val="15"/>
                <w:szCs w:val="15"/>
                <w:b w:val="1"/>
                <w:bCs w:val="1"/>
                <w:color w:val="auto"/>
              </w:rPr>
              <w:t>$</w:t>
            </w:r>
          </w:p>
        </w:tc>
        <w:tc>
          <w:tcPr>
            <w:tcW w:w="200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24.47</w:t>
            </w:r>
          </w:p>
        </w:tc>
        <w:tc>
          <w:tcPr>
            <w:tcW w:w="2220" w:type="dxa"/>
            <w:vAlign w:val="bottom"/>
            <w:gridSpan w:val="2"/>
          </w:tcPr>
          <w:p>
            <w:pPr>
              <w:jc w:val="right"/>
              <w:ind w:right="44"/>
              <w:spacing w:after="0" w:line="156" w:lineRule="exact"/>
              <w:rPr>
                <w:sz w:val="20"/>
                <w:szCs w:val="20"/>
                <w:color w:val="auto"/>
              </w:rPr>
            </w:pPr>
            <w:r>
              <w:rPr>
                <w:rFonts w:ascii="Arial" w:cs="Arial" w:eastAsia="Arial" w:hAnsi="Arial"/>
                <w:sz w:val="15"/>
                <w:szCs w:val="15"/>
                <w:b w:val="1"/>
                <w:bCs w:val="1"/>
                <w:color w:val="auto"/>
              </w:rPr>
              <w:t>575,000</w:t>
            </w: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-136525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-136525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-136525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 w:lineRule="exact"/>
        <w:rPr>
          <w:sz w:val="20"/>
          <w:szCs w:val="20"/>
          <w:color w:val="auto"/>
        </w:rPr>
      </w:pPr>
    </w:p>
    <w:p>
      <w:pPr>
        <w:ind w:left="180" w:right="320" w:hanging="172"/>
        <w:spacing w:after="0" w:line="225" w:lineRule="auto"/>
        <w:tabs>
          <w:tab w:leader="none" w:pos="148"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Includes the following transactions during the three months ended March 31, 2026: (i) the surrender of 31,258 shares of common stock to the Company to satisfy tax withholding obligations in connection with the vesting of restricted stock issued to employees and (ii) the repurchase of 575,000 shares of common stock under the Share Repurchase Program.</w:t>
      </w:r>
    </w:p>
    <w:p>
      <w:pPr>
        <w:spacing w:after="0" w:line="27" w:lineRule="exact"/>
        <w:rPr>
          <w:rFonts w:ascii="Arial" w:cs="Arial" w:eastAsia="Arial" w:hAnsi="Arial"/>
          <w:sz w:val="17"/>
          <w:szCs w:val="17"/>
          <w:color w:val="auto"/>
          <w:vertAlign w:val="superscript"/>
        </w:rPr>
      </w:pPr>
    </w:p>
    <w:p>
      <w:pPr>
        <w:ind w:left="180" w:right="300" w:hanging="172"/>
        <w:spacing w:after="0" w:line="229" w:lineRule="auto"/>
        <w:tabs>
          <w:tab w:leader="none" w:pos="148"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The difference between the total number of shares purchased and the total number of shares purchased as part of publicly announced plans or programs represents shares deemed surrendered to the Company to satisfy certain employee elections under our compensation and benefit programs. For the three months ended March 31, 2026, there were 31,258 shares withheld by the Company.</w:t>
      </w:r>
    </w:p>
    <w:p>
      <w:pPr>
        <w:spacing w:after="0" w:line="10"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3"/>
          <w:szCs w:val="13"/>
          <w:color w:val="auto"/>
        </w:rPr>
        <w:t>Includes approximate dollar value of shares that were available to be purchased under the publicly announced plans or programs that were in effect as of March 31, 2026.</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Share Repurchase Program may be suspended or discontinued at any time.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covered by this Quarterly Report, we did not sell any shares of common stock that were not registered under the Securities Act.</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DEFAULTS UPON SENIOR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Rule 10b5-1 Trading Plans</w:t>
      </w:r>
    </w:p>
    <w:p>
      <w:pPr>
        <w:spacing w:after="0" w:line="10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March 2, 2026, Mark Reddout, our President of North American Operations, adopted a Rule 10b5-1 trading arrangement that is intended to satisfy the affirmative defense of Rule 10b5-1(c) for the sale of up to 20,750 shares of Company Common Stock until February 28, 2027.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7" w:name="page28"/>
    <w:bookmarkEnd w:id="27"/>
    <w:p>
      <w:pPr>
        <w:spacing w:after="0"/>
        <w:rPr>
          <w:sz w:val="20"/>
          <w:szCs w:val="20"/>
          <w:color w:val="auto"/>
        </w:rPr>
      </w:pPr>
      <w:r>
        <w:rPr>
          <w:rFonts w:ascii="Arial" w:cs="Arial" w:eastAsia="Arial" w:hAnsi="Arial"/>
          <w:sz w:val="19"/>
          <w:szCs w:val="19"/>
          <w:b w:val="1"/>
          <w:bCs w:val="1"/>
          <w:color w:val="auto"/>
        </w:rPr>
        <w:t>ITEM 6.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2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40" w:type="dxa"/>
            <w:vAlign w:val="bottom"/>
          </w:tcPr>
          <w:p>
            <w:pPr>
              <w:spacing w:after="0"/>
              <w:rPr>
                <w:sz w:val="20"/>
                <w:szCs w:val="20"/>
                <w:color w:val="auto"/>
              </w:rPr>
            </w:pPr>
            <w:r>
              <w:rPr>
                <w:rFonts w:ascii="Arial" w:cs="Arial" w:eastAsia="Arial" w:hAnsi="Arial"/>
                <w:sz w:val="17"/>
                <w:szCs w:val="17"/>
                <w:b w:val="1"/>
                <w:bCs w:val="1"/>
                <w:color w:val="auto"/>
              </w:rPr>
              <w:t>Number</w:t>
            </w:r>
          </w:p>
        </w:tc>
        <w:tc>
          <w:tcPr>
            <w:tcW w:w="260" w:type="dxa"/>
            <w:vAlign w:val="bottom"/>
          </w:tcPr>
          <w:p>
            <w:pPr>
              <w:spacing w:after="0"/>
              <w:rPr>
                <w:sz w:val="18"/>
                <w:szCs w:val="18"/>
                <w:color w:val="auto"/>
              </w:rPr>
            </w:pPr>
          </w:p>
        </w:tc>
        <w:tc>
          <w:tcPr>
            <w:tcW w:w="9920" w:type="dxa"/>
            <w:vAlign w:val="bottom"/>
            <w:gridSpan w:val="20"/>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55"/>
        </w:trPr>
        <w:tc>
          <w:tcPr>
            <w:tcW w:w="1240" w:type="dxa"/>
            <w:vAlign w:val="bottom"/>
            <w:tcBorders>
              <w:top w:val="single" w:sz="8" w:color="auto"/>
            </w:tcBorders>
          </w:tcPr>
          <w:p>
            <w:pPr>
              <w:spacing w:after="0" w:line="155" w:lineRule="exact"/>
              <w:rPr>
                <w:sz w:val="20"/>
                <w:szCs w:val="20"/>
                <w:color w:val="auto"/>
              </w:rPr>
            </w:pPr>
            <w:r>
              <w:rPr>
                <w:rFonts w:ascii="Arial" w:cs="Arial" w:eastAsia="Arial" w:hAnsi="Arial"/>
                <w:sz w:val="17"/>
                <w:szCs w:val="17"/>
                <w:color w:val="auto"/>
              </w:rPr>
              <w:t>3.1</w:t>
            </w:r>
          </w:p>
        </w:tc>
        <w:tc>
          <w:tcPr>
            <w:tcW w:w="260" w:type="dxa"/>
            <w:vAlign w:val="bottom"/>
          </w:tcPr>
          <w:p>
            <w:pPr>
              <w:spacing w:after="0"/>
              <w:rPr>
                <w:sz w:val="13"/>
                <w:szCs w:val="13"/>
                <w:color w:val="auto"/>
              </w:rPr>
            </w:pPr>
          </w:p>
        </w:tc>
        <w:tc>
          <w:tcPr>
            <w:tcW w:w="9820" w:type="dxa"/>
            <w:vAlign w:val="bottom"/>
            <w:tcBorders>
              <w:top w:val="single" w:sz="8" w:color="auto"/>
              <w:bottom w:val="single" w:sz="8" w:color="0000FF"/>
            </w:tcBorders>
            <w:gridSpan w:val="15"/>
          </w:tcPr>
          <w:p>
            <w:pPr>
              <w:spacing w:after="0" w:line="155" w:lineRule="exact"/>
              <w:rPr>
                <w:rFonts w:ascii="Arial" w:cs="Arial" w:eastAsia="Arial" w:hAnsi="Arial"/>
                <w:sz w:val="17"/>
                <w:szCs w:val="17"/>
                <w:color w:val="0000FF"/>
              </w:rPr>
            </w:pPr>
            <w:hyperlink r:id="rId128">
              <w:r>
                <w:rPr>
                  <w:rFonts w:ascii="Arial" w:cs="Arial" w:eastAsia="Arial" w:hAnsi="Arial"/>
                  <w:sz w:val="17"/>
                  <w:szCs w:val="17"/>
                  <w:color w:val="0000FF"/>
                </w:rPr>
                <w:t>Restated Certificate of Incorporation of the Company (incorporated by reference to Exhibit 3.1 to the Company’s Annual Report</w:t>
              </w:r>
            </w:hyperlink>
          </w:p>
        </w:tc>
        <w:tc>
          <w:tcPr>
            <w:tcW w:w="100" w:type="dxa"/>
            <w:vAlign w:val="bottom"/>
            <w:tcBorders>
              <w:top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3.2</w:t>
            </w:r>
          </w:p>
        </w:tc>
        <w:tc>
          <w:tcPr>
            <w:tcW w:w="260" w:type="dxa"/>
            <w:vAlign w:val="bottom"/>
          </w:tcPr>
          <w:p>
            <w:pPr>
              <w:spacing w:after="0"/>
              <w:rPr>
                <w:sz w:val="14"/>
                <w:szCs w:val="14"/>
                <w:color w:val="auto"/>
              </w:rPr>
            </w:pPr>
          </w:p>
        </w:tc>
        <w:tc>
          <w:tcPr>
            <w:tcW w:w="9820" w:type="dxa"/>
            <w:vAlign w:val="bottom"/>
            <w:gridSpan w:val="15"/>
          </w:tcPr>
          <w:p>
            <w:pPr>
              <w:spacing w:after="0" w:line="169" w:lineRule="exact"/>
              <w:rPr>
                <w:rFonts w:ascii="Arial" w:cs="Arial" w:eastAsia="Arial" w:hAnsi="Arial"/>
                <w:sz w:val="17"/>
                <w:szCs w:val="17"/>
                <w:color w:val="0000FF"/>
              </w:rPr>
            </w:pPr>
            <w:hyperlink r:id="rId128">
              <w:r>
                <w:rPr>
                  <w:rFonts w:ascii="Arial" w:cs="Arial" w:eastAsia="Arial" w:hAnsi="Arial"/>
                  <w:sz w:val="17"/>
                  <w:szCs w:val="17"/>
                  <w:color w:val="0000FF"/>
                </w:rPr>
                <w:t>on Form 10-K for the year ended December 31,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5780" w:type="dxa"/>
            <w:vAlign w:val="bottom"/>
            <w:gridSpan w:val="17"/>
            <w:vMerge w:val="restart"/>
          </w:tcPr>
          <w:p>
            <w:pPr>
              <w:jc w:val="right"/>
              <w:ind w:right="200"/>
              <w:spacing w:after="0" w:line="189" w:lineRule="exact"/>
              <w:rPr>
                <w:rFonts w:ascii="Arial" w:cs="Arial" w:eastAsia="Arial" w:hAnsi="Arial"/>
                <w:sz w:val="17"/>
                <w:szCs w:val="17"/>
                <w:color w:val="0000FF"/>
              </w:rPr>
            </w:pPr>
            <w:hyperlink r:id="rId129">
              <w:r>
                <w:rPr>
                  <w:rFonts w:ascii="Arial" w:cs="Arial" w:eastAsia="Arial" w:hAnsi="Arial"/>
                  <w:sz w:val="17"/>
                  <w:szCs w:val="17"/>
                  <w:color w:val="0000FF"/>
                </w:rPr>
                <w:t>Preferred Stock of the Company (incorporated by reference to Exhibit</w:t>
              </w:r>
            </w:hyperlink>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140" w:type="dxa"/>
            <w:vAlign w:val="bottom"/>
            <w:gridSpan w:val="3"/>
          </w:tcPr>
          <w:p>
            <w:pPr>
              <w:spacing w:after="0" w:line="169" w:lineRule="exact"/>
              <w:rPr>
                <w:rFonts w:ascii="Arial" w:cs="Arial" w:eastAsia="Arial" w:hAnsi="Arial"/>
                <w:sz w:val="17"/>
                <w:szCs w:val="17"/>
                <w:color w:val="0000FF"/>
                <w:w w:val="97"/>
              </w:rPr>
            </w:pPr>
            <w:hyperlink r:id="rId129">
              <w:r>
                <w:rPr>
                  <w:rFonts w:ascii="Arial" w:cs="Arial" w:eastAsia="Arial" w:hAnsi="Arial"/>
                  <w:sz w:val="17"/>
                  <w:szCs w:val="17"/>
                  <w:color w:val="0000FF"/>
                  <w:w w:val="97"/>
                </w:rPr>
                <w:t>Certificate of Elimination of Series A Junior Participating</w:t>
              </w:r>
            </w:hyperlink>
          </w:p>
        </w:tc>
        <w:tc>
          <w:tcPr>
            <w:tcW w:w="578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3.3</w:t>
            </w:r>
          </w:p>
        </w:tc>
        <w:tc>
          <w:tcPr>
            <w:tcW w:w="260" w:type="dxa"/>
            <w:vAlign w:val="bottom"/>
          </w:tcPr>
          <w:p>
            <w:pPr>
              <w:spacing w:after="0"/>
              <w:rPr>
                <w:sz w:val="14"/>
                <w:szCs w:val="14"/>
                <w:color w:val="auto"/>
              </w:rPr>
            </w:pPr>
          </w:p>
        </w:tc>
        <w:tc>
          <w:tcPr>
            <w:tcW w:w="9860" w:type="dxa"/>
            <w:vAlign w:val="bottom"/>
            <w:gridSpan w:val="17"/>
          </w:tcPr>
          <w:p>
            <w:pPr>
              <w:spacing w:after="0" w:line="169" w:lineRule="exact"/>
              <w:rPr>
                <w:rFonts w:ascii="Arial" w:cs="Arial" w:eastAsia="Arial" w:hAnsi="Arial"/>
                <w:sz w:val="17"/>
                <w:szCs w:val="17"/>
                <w:color w:val="0000FF"/>
              </w:rPr>
            </w:pPr>
            <w:hyperlink r:id="rId129">
              <w:r>
                <w:rPr>
                  <w:rFonts w:ascii="Arial" w:cs="Arial" w:eastAsia="Arial" w:hAnsi="Arial"/>
                  <w:sz w:val="17"/>
                  <w:szCs w:val="17"/>
                  <w:color w:val="0000FF"/>
                </w:rPr>
                <w:t>3.</w:t>
              </w:r>
              <w:r>
                <w:rPr>
                  <w:rFonts w:ascii="Arial" w:cs="Arial" w:eastAsia="Arial" w:hAnsi="Arial"/>
                  <w:sz w:val="17"/>
                  <w:szCs w:val="17"/>
                  <w:u w:val="single" w:color="auto"/>
                  <w:color w:val="0000FF"/>
                </w:rPr>
                <w:t>2</w:t>
              </w:r>
              <w:r>
                <w:rPr>
                  <w:rFonts w:ascii="Arial" w:cs="Arial" w:eastAsia="Arial" w:hAnsi="Arial"/>
                  <w:sz w:val="17"/>
                  <w:szCs w:val="17"/>
                  <w:color w:val="0000FF"/>
                </w:rPr>
                <w:t xml:space="preserve"> to the Company’s Annual Report on Form 10-K for the year ended December 31, 2017).</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920" w:type="dxa"/>
            <w:vAlign w:val="bottom"/>
            <w:gridSpan w:val="20"/>
          </w:tcPr>
          <w:p>
            <w:pPr>
              <w:spacing w:after="0" w:line="169" w:lineRule="exact"/>
              <w:rPr>
                <w:rFonts w:ascii="Arial" w:cs="Arial" w:eastAsia="Arial" w:hAnsi="Arial"/>
                <w:sz w:val="17"/>
                <w:szCs w:val="17"/>
                <w:color w:val="0000FF"/>
              </w:rPr>
            </w:pPr>
            <w:hyperlink r:id="rId130">
              <w:r>
                <w:rPr>
                  <w:rFonts w:ascii="Arial" w:cs="Arial" w:eastAsia="Arial" w:hAnsi="Arial"/>
                  <w:sz w:val="17"/>
                  <w:szCs w:val="17"/>
                  <w:color w:val="0000FF"/>
                </w:rPr>
                <w:t>Certificate of Amendment to the Restated Certificate of Incorporation of Innovex International, Inc., dated September 6,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3.4</w:t>
            </w:r>
          </w:p>
        </w:tc>
        <w:tc>
          <w:tcPr>
            <w:tcW w:w="260" w:type="dxa"/>
            <w:vAlign w:val="bottom"/>
          </w:tcPr>
          <w:p>
            <w:pPr>
              <w:spacing w:after="0"/>
              <w:rPr>
                <w:sz w:val="14"/>
                <w:szCs w:val="14"/>
                <w:color w:val="auto"/>
              </w:rPr>
            </w:pPr>
          </w:p>
        </w:tc>
        <w:tc>
          <w:tcPr>
            <w:tcW w:w="9800" w:type="dxa"/>
            <w:vAlign w:val="bottom"/>
            <w:gridSpan w:val="14"/>
          </w:tcPr>
          <w:p>
            <w:pPr>
              <w:spacing w:after="0" w:line="169" w:lineRule="exact"/>
              <w:rPr>
                <w:rFonts w:ascii="Arial" w:cs="Arial" w:eastAsia="Arial" w:hAnsi="Arial"/>
                <w:sz w:val="17"/>
                <w:szCs w:val="17"/>
                <w:color w:val="0000FF"/>
              </w:rPr>
            </w:pPr>
            <w:hyperlink r:id="rId130">
              <w:r>
                <w:rPr>
                  <w:rFonts w:ascii="Arial" w:cs="Arial" w:eastAsia="Arial" w:hAnsi="Arial"/>
                  <w:sz w:val="17"/>
                  <w:szCs w:val="17"/>
                  <w:color w:val="0000FF"/>
                </w:rPr>
                <w:t>(incorporated by reference to Exhibit 3.1 to the Current Report on Form 8-K filed by the Company on September 6, 2024).</w:t>
              </w:r>
            </w:hyperlink>
          </w:p>
        </w:tc>
        <w:tc>
          <w:tcPr>
            <w:tcW w:w="4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920" w:type="dxa"/>
            <w:vAlign w:val="bottom"/>
            <w:gridSpan w:val="20"/>
          </w:tcPr>
          <w:p>
            <w:pPr>
              <w:spacing w:after="0" w:line="169" w:lineRule="exact"/>
              <w:rPr>
                <w:rFonts w:ascii="Arial" w:cs="Arial" w:eastAsia="Arial" w:hAnsi="Arial"/>
                <w:sz w:val="17"/>
                <w:szCs w:val="17"/>
                <w:color w:val="0000FF"/>
              </w:rPr>
            </w:pPr>
            <w:hyperlink r:id="rId131">
              <w:r>
                <w:rPr>
                  <w:rFonts w:ascii="Arial" w:cs="Arial" w:eastAsia="Arial" w:hAnsi="Arial"/>
                  <w:sz w:val="17"/>
                  <w:szCs w:val="17"/>
                  <w:color w:val="0000FF"/>
                </w:rPr>
                <w:t>Certificate of Amendment to Innovex International, Inc. Restated Certificate of Incorporation, dated May 14, 2025 (incorporated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3.5</w:t>
            </w:r>
          </w:p>
        </w:tc>
        <w:tc>
          <w:tcPr>
            <w:tcW w:w="260" w:type="dxa"/>
            <w:vAlign w:val="bottom"/>
          </w:tcPr>
          <w:p>
            <w:pPr>
              <w:spacing w:after="0"/>
              <w:rPr>
                <w:sz w:val="14"/>
                <w:szCs w:val="14"/>
                <w:color w:val="auto"/>
              </w:rPr>
            </w:pPr>
          </w:p>
        </w:tc>
        <w:tc>
          <w:tcPr>
            <w:tcW w:w="9780" w:type="dxa"/>
            <w:vAlign w:val="bottom"/>
            <w:gridSpan w:val="13"/>
          </w:tcPr>
          <w:p>
            <w:pPr>
              <w:spacing w:after="0" w:line="169" w:lineRule="exact"/>
              <w:rPr>
                <w:rFonts w:ascii="Arial" w:cs="Arial" w:eastAsia="Arial" w:hAnsi="Arial"/>
                <w:sz w:val="17"/>
                <w:szCs w:val="17"/>
                <w:color w:val="0000FF"/>
              </w:rPr>
            </w:pPr>
            <w:hyperlink r:id="rId131">
              <w:r>
                <w:rPr>
                  <w:rFonts w:ascii="Arial" w:cs="Arial" w:eastAsia="Arial" w:hAnsi="Arial"/>
                  <w:sz w:val="17"/>
                  <w:szCs w:val="17"/>
                  <w:color w:val="0000FF"/>
                </w:rPr>
                <w:t>by reference to Exhibit 3.1 to Company’s Current Report on Form 8-K filed on May 15, 2025).</w:t>
              </w:r>
            </w:hyperlink>
          </w:p>
        </w:tc>
        <w:tc>
          <w:tcPr>
            <w:tcW w:w="60" w:type="dxa"/>
            <w:vAlign w:val="bottom"/>
            <w:gridSpan w:val="3"/>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920" w:type="dxa"/>
            <w:vAlign w:val="bottom"/>
            <w:gridSpan w:val="20"/>
          </w:tcPr>
          <w:p>
            <w:pPr>
              <w:spacing w:after="0" w:line="169" w:lineRule="exact"/>
              <w:rPr>
                <w:rFonts w:ascii="Arial" w:cs="Arial" w:eastAsia="Arial" w:hAnsi="Arial"/>
                <w:sz w:val="17"/>
                <w:szCs w:val="17"/>
                <w:color w:val="0000FF"/>
              </w:rPr>
            </w:pPr>
            <w:hyperlink r:id="rId132">
              <w:r>
                <w:rPr>
                  <w:rFonts w:ascii="Arial" w:cs="Arial" w:eastAsia="Arial" w:hAnsi="Arial"/>
                  <w:sz w:val="17"/>
                  <w:szCs w:val="17"/>
                  <w:color w:val="0000FF"/>
                </w:rPr>
                <w:t>Amended and Restated Bylaws of the Company (incorporated by reference to Exhibit 3.1 to the Company’s Current Report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3.6</w:t>
            </w:r>
          </w:p>
        </w:tc>
        <w:tc>
          <w:tcPr>
            <w:tcW w:w="260" w:type="dxa"/>
            <w:vAlign w:val="bottom"/>
          </w:tcPr>
          <w:p>
            <w:pPr>
              <w:spacing w:after="0"/>
              <w:rPr>
                <w:sz w:val="14"/>
                <w:szCs w:val="14"/>
                <w:color w:val="auto"/>
              </w:rPr>
            </w:pPr>
          </w:p>
        </w:tc>
        <w:tc>
          <w:tcPr>
            <w:tcW w:w="9880" w:type="dxa"/>
            <w:vAlign w:val="bottom"/>
            <w:gridSpan w:val="18"/>
          </w:tcPr>
          <w:p>
            <w:pPr>
              <w:spacing w:after="0" w:line="169" w:lineRule="exact"/>
              <w:rPr>
                <w:rFonts w:ascii="Arial" w:cs="Arial" w:eastAsia="Arial" w:hAnsi="Arial"/>
                <w:sz w:val="17"/>
                <w:szCs w:val="17"/>
                <w:color w:val="0000FF"/>
              </w:rPr>
            </w:pPr>
            <w:hyperlink r:id="rId132">
              <w:r>
                <w:rPr>
                  <w:rFonts w:ascii="Arial" w:cs="Arial" w:eastAsia="Arial" w:hAnsi="Arial"/>
                  <w:sz w:val="17"/>
                  <w:szCs w:val="17"/>
                  <w:color w:val="0000FF"/>
                </w:rPr>
                <w:t>Form 8-K filed on May 18, 2023).</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920" w:type="dxa"/>
            <w:vAlign w:val="bottom"/>
            <w:gridSpan w:val="20"/>
          </w:tcPr>
          <w:p>
            <w:pPr>
              <w:spacing w:after="0" w:line="169" w:lineRule="exact"/>
              <w:rPr>
                <w:rFonts w:ascii="Arial" w:cs="Arial" w:eastAsia="Arial" w:hAnsi="Arial"/>
                <w:sz w:val="17"/>
                <w:szCs w:val="17"/>
                <w:color w:val="0000FF"/>
              </w:rPr>
            </w:pPr>
            <w:hyperlink r:id="rId133">
              <w:r>
                <w:rPr>
                  <w:rFonts w:ascii="Arial" w:cs="Arial" w:eastAsia="Arial" w:hAnsi="Arial"/>
                  <w:sz w:val="17"/>
                  <w:szCs w:val="17"/>
                  <w:color w:val="0000FF"/>
                </w:rPr>
                <w:t>Amendment to the Amended and Restated Bylaws, dated September 6, 2024 (incorporated by reference to Exhibit 3.2 to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31.1*</w:t>
            </w:r>
          </w:p>
        </w:tc>
        <w:tc>
          <w:tcPr>
            <w:tcW w:w="260" w:type="dxa"/>
            <w:vAlign w:val="bottom"/>
          </w:tcPr>
          <w:p>
            <w:pPr>
              <w:spacing w:after="0"/>
              <w:rPr>
                <w:sz w:val="14"/>
                <w:szCs w:val="14"/>
                <w:color w:val="auto"/>
              </w:rPr>
            </w:pPr>
          </w:p>
        </w:tc>
        <w:tc>
          <w:tcPr>
            <w:tcW w:w="9720" w:type="dxa"/>
            <w:vAlign w:val="bottom"/>
            <w:gridSpan w:val="10"/>
          </w:tcPr>
          <w:p>
            <w:pPr>
              <w:spacing w:after="0" w:line="169" w:lineRule="exact"/>
              <w:rPr>
                <w:rFonts w:ascii="Arial" w:cs="Arial" w:eastAsia="Arial" w:hAnsi="Arial"/>
                <w:sz w:val="17"/>
                <w:szCs w:val="17"/>
                <w:color w:val="0000FF"/>
              </w:rPr>
            </w:pPr>
            <w:hyperlink r:id="rId133">
              <w:r>
                <w:rPr>
                  <w:rFonts w:ascii="Arial" w:cs="Arial" w:eastAsia="Arial" w:hAnsi="Arial"/>
                  <w:sz w:val="17"/>
                  <w:szCs w:val="17"/>
                  <w:color w:val="0000FF"/>
                </w:rPr>
                <w:t>Current Report on Form 8-K filed by the Company on September 6, 2024).</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300" w:type="dxa"/>
            <w:vAlign w:val="bottom"/>
            <w:gridSpan w:val="15"/>
            <w:vMerge w:val="restart"/>
          </w:tcPr>
          <w:p>
            <w:pPr>
              <w:jc w:val="right"/>
              <w:ind w:right="200"/>
              <w:spacing w:after="0" w:line="189" w:lineRule="exact"/>
              <w:rPr>
                <w:sz w:val="20"/>
                <w:szCs w:val="20"/>
                <w:color w:val="auto"/>
              </w:rPr>
            </w:pPr>
            <w:r>
              <w:rPr>
                <w:rFonts w:ascii="Arial" w:cs="Arial" w:eastAsia="Arial" w:hAnsi="Arial"/>
                <w:sz w:val="17"/>
                <w:szCs w:val="17"/>
                <w:color w:val="0000FF"/>
              </w:rPr>
              <w:t>and 15d-14(a) under the Securities Exchange Act of</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620" w:type="dxa"/>
            <w:vAlign w:val="bottom"/>
            <w:gridSpan w:val="5"/>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Rules 13a-14(a)</w:t>
            </w:r>
          </w:p>
        </w:tc>
        <w:tc>
          <w:tcPr>
            <w:tcW w:w="430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31.2*</w:t>
            </w:r>
          </w:p>
        </w:tc>
        <w:tc>
          <w:tcPr>
            <w:tcW w:w="260" w:type="dxa"/>
            <w:vAlign w:val="bottom"/>
          </w:tcPr>
          <w:p>
            <w:pPr>
              <w:spacing w:after="0"/>
              <w:rPr>
                <w:sz w:val="14"/>
                <w:szCs w:val="14"/>
                <w:color w:val="auto"/>
              </w:rPr>
            </w:pPr>
          </w:p>
        </w:tc>
        <w:tc>
          <w:tcPr>
            <w:tcW w:w="9760" w:type="dxa"/>
            <w:vAlign w:val="bottom"/>
            <w:gridSpan w:val="12"/>
          </w:tcPr>
          <w:p>
            <w:pPr>
              <w:spacing w:after="0" w:line="169"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80" w:type="dxa"/>
            <w:vAlign w:val="bottom"/>
            <w:gridSpan w:val="4"/>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4000" w:type="dxa"/>
            <w:vAlign w:val="bottom"/>
            <w:gridSpan w:val="14"/>
            <w:vMerge w:val="restart"/>
          </w:tcPr>
          <w:p>
            <w:pPr>
              <w:jc w:val="right"/>
              <w:ind w:right="200"/>
              <w:spacing w:after="0" w:line="189" w:lineRule="exact"/>
              <w:rPr>
                <w:sz w:val="20"/>
                <w:szCs w:val="20"/>
                <w:color w:val="auto"/>
              </w:rPr>
            </w:pPr>
            <w:r>
              <w:rPr>
                <w:rFonts w:ascii="Arial" w:cs="Arial" w:eastAsia="Arial" w:hAnsi="Arial"/>
                <w:sz w:val="17"/>
                <w:szCs w:val="17"/>
                <w:color w:val="0000FF"/>
              </w:rPr>
              <w:t>-14(a) under the Securities Exchange Act of 1934,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920" w:type="dxa"/>
            <w:vAlign w:val="bottom"/>
            <w:gridSpan w:val="6"/>
          </w:tcPr>
          <w:p>
            <w:pPr>
              <w:spacing w:after="0" w:line="169" w:lineRule="exact"/>
              <w:rPr>
                <w:sz w:val="20"/>
                <w:szCs w:val="20"/>
                <w:color w:val="auto"/>
              </w:rPr>
            </w:pPr>
            <w:r>
              <w:rPr>
                <w:rFonts w:ascii="Arial" w:cs="Arial" w:eastAsia="Arial" w:hAnsi="Arial"/>
                <w:sz w:val="17"/>
                <w:szCs w:val="17"/>
                <w:color w:val="0000FF"/>
                <w:w w:val="99"/>
              </w:rPr>
              <w:t>Certification of Principal Financial Officer Pursuant to Rules 13a-14(a) and 15d</w:t>
            </w:r>
          </w:p>
        </w:tc>
        <w:tc>
          <w:tcPr>
            <w:tcW w:w="400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4300" w:type="dxa"/>
            <w:vAlign w:val="bottom"/>
            <w:gridSpan w:val="7"/>
            <w:shd w:val="clear" w:color="auto" w:fill="0000FF"/>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32.1**</w:t>
            </w:r>
          </w:p>
        </w:tc>
        <w:tc>
          <w:tcPr>
            <w:tcW w:w="260" w:type="dxa"/>
            <w:vAlign w:val="bottom"/>
          </w:tcPr>
          <w:p>
            <w:pPr>
              <w:spacing w:after="0"/>
              <w:rPr>
                <w:sz w:val="14"/>
                <w:szCs w:val="14"/>
                <w:color w:val="auto"/>
              </w:rPr>
            </w:pPr>
          </w:p>
        </w:tc>
        <w:tc>
          <w:tcPr>
            <w:tcW w:w="9740" w:type="dxa"/>
            <w:vAlign w:val="bottom"/>
            <w:gridSpan w:val="11"/>
          </w:tcPr>
          <w:p>
            <w:pPr>
              <w:spacing w:after="0" w:line="169" w:lineRule="exact"/>
              <w:rPr>
                <w:sz w:val="20"/>
                <w:szCs w:val="20"/>
                <w:color w:val="auto"/>
              </w:rPr>
            </w:pPr>
            <w:r>
              <w:rPr>
                <w:rFonts w:ascii="Arial" w:cs="Arial" w:eastAsia="Arial" w:hAnsi="Arial"/>
                <w:sz w:val="17"/>
                <w:szCs w:val="17"/>
                <w:color w:val="0000FF"/>
              </w:rPr>
              <w:t>as Adopted Pursuant to Section 302 of the Sarbanes-Oxley Act of 2002.</w:t>
            </w:r>
          </w:p>
        </w:tc>
        <w:tc>
          <w:tcPr>
            <w:tcW w:w="100" w:type="dxa"/>
            <w:vAlign w:val="bottom"/>
            <w:gridSpan w:val="5"/>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EE"/>
            </w:tcBorders>
            <w:gridSpan w:val="3"/>
            <w:shd w:val="clear" w:color="auto" w:fill="0000FF"/>
          </w:tcPr>
          <w:p>
            <w:pPr>
              <w:spacing w:after="0" w:line="20" w:lineRule="exact"/>
              <w:rPr>
                <w:sz w:val="1"/>
                <w:szCs w:val="1"/>
                <w:color w:val="auto"/>
              </w:rPr>
            </w:pPr>
          </w:p>
        </w:tc>
        <w:tc>
          <w:tcPr>
            <w:tcW w:w="44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920" w:type="dxa"/>
            <w:vAlign w:val="bottom"/>
            <w:gridSpan w:val="20"/>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gridSpan w:val="15"/>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32.2**</w:t>
            </w:r>
          </w:p>
        </w:tc>
        <w:tc>
          <w:tcPr>
            <w:tcW w:w="260" w:type="dxa"/>
            <w:vAlign w:val="bottom"/>
          </w:tcPr>
          <w:p>
            <w:pPr>
              <w:spacing w:after="0"/>
              <w:rPr>
                <w:sz w:val="14"/>
                <w:szCs w:val="14"/>
                <w:color w:val="auto"/>
              </w:rPr>
            </w:pPr>
          </w:p>
        </w:tc>
        <w:tc>
          <w:tcPr>
            <w:tcW w:w="9900" w:type="dxa"/>
            <w:vAlign w:val="bottom"/>
            <w:gridSpan w:val="19"/>
          </w:tcPr>
          <w:p>
            <w:pPr>
              <w:spacing w:after="0" w:line="169" w:lineRule="exact"/>
              <w:rPr>
                <w:sz w:val="20"/>
                <w:szCs w:val="20"/>
                <w:color w:val="auto"/>
              </w:rPr>
            </w:pPr>
            <w:r>
              <w:rPr>
                <w:rFonts w:ascii="Arial" w:cs="Arial" w:eastAsia="Arial" w:hAnsi="Arial"/>
                <w:sz w:val="17"/>
                <w:szCs w:val="17"/>
                <w:color w:val="0000FF"/>
              </w:rPr>
              <w:t>Sarbanes-Oxley Act of 2002.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EE"/>
            </w:tcBorders>
            <w:shd w:val="clear" w:color="auto" w:fill="0000FF"/>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920" w:type="dxa"/>
            <w:vAlign w:val="bottom"/>
            <w:gridSpan w:val="20"/>
          </w:tcPr>
          <w:p>
            <w:pPr>
              <w:spacing w:after="0" w:line="169" w:lineRule="exact"/>
              <w:rPr>
                <w:sz w:val="20"/>
                <w:szCs w:val="20"/>
                <w:color w:val="auto"/>
              </w:rPr>
            </w:pPr>
            <w:r>
              <w:rPr>
                <w:rFonts w:ascii="Arial" w:cs="Arial" w:eastAsia="Arial" w:hAnsi="Arial"/>
                <w:sz w:val="17"/>
                <w:szCs w:val="17"/>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840" w:type="dxa"/>
            <w:vAlign w:val="bottom"/>
            <w:gridSpan w:val="16"/>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101.INS</w:t>
            </w:r>
          </w:p>
        </w:tc>
        <w:tc>
          <w:tcPr>
            <w:tcW w:w="260" w:type="dxa"/>
            <w:vAlign w:val="bottom"/>
          </w:tcPr>
          <w:p>
            <w:pPr>
              <w:spacing w:after="0"/>
              <w:rPr>
                <w:sz w:val="14"/>
                <w:szCs w:val="14"/>
                <w:color w:val="auto"/>
              </w:rPr>
            </w:pPr>
          </w:p>
        </w:tc>
        <w:tc>
          <w:tcPr>
            <w:tcW w:w="9840" w:type="dxa"/>
            <w:vAlign w:val="bottom"/>
            <w:gridSpan w:val="16"/>
          </w:tcPr>
          <w:p>
            <w:pPr>
              <w:spacing w:after="0" w:line="169" w:lineRule="exact"/>
              <w:rPr>
                <w:sz w:val="20"/>
                <w:szCs w:val="20"/>
                <w:color w:val="auto"/>
              </w:rPr>
            </w:pPr>
            <w:r>
              <w:rPr>
                <w:rFonts w:ascii="Arial" w:cs="Arial" w:eastAsia="Arial" w:hAnsi="Arial"/>
                <w:sz w:val="17"/>
                <w:szCs w:val="17"/>
                <w:color w:val="0000FF"/>
              </w:rPr>
              <w:t>Sarbanes-Oxley Act of 2002.</w:t>
            </w:r>
          </w:p>
        </w:tc>
        <w:tc>
          <w:tcPr>
            <w:tcW w:w="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EE"/>
            </w:tcBorders>
            <w:shd w:val="clear" w:color="auto" w:fill="0000FF"/>
          </w:tcPr>
          <w:p>
            <w:pPr>
              <w:spacing w:after="0" w:line="20" w:lineRule="exact"/>
              <w:rPr>
                <w:sz w:val="1"/>
                <w:szCs w:val="1"/>
                <w:color w:val="auto"/>
              </w:rPr>
            </w:pPr>
          </w:p>
        </w:tc>
        <w:tc>
          <w:tcPr>
            <w:tcW w:w="77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920" w:type="dxa"/>
            <w:vAlign w:val="bottom"/>
            <w:gridSpan w:val="20"/>
          </w:tcPr>
          <w:p>
            <w:pPr>
              <w:spacing w:after="0" w:line="174"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920" w:type="dxa"/>
            <w:vAlign w:val="bottom"/>
            <w:gridSpan w:val="20"/>
          </w:tcPr>
          <w:p>
            <w:pPr>
              <w:spacing w:after="0" w:line="189" w:lineRule="exact"/>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101.SCH</w:t>
            </w:r>
          </w:p>
        </w:tc>
        <w:tc>
          <w:tcPr>
            <w:tcW w:w="260" w:type="dxa"/>
            <w:vAlign w:val="bottom"/>
          </w:tcPr>
          <w:p>
            <w:pPr>
              <w:spacing w:after="0"/>
              <w:rPr>
                <w:sz w:val="16"/>
                <w:szCs w:val="16"/>
                <w:color w:val="auto"/>
              </w:rPr>
            </w:pPr>
          </w:p>
        </w:tc>
        <w:tc>
          <w:tcPr>
            <w:tcW w:w="992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101.CAL</w:t>
            </w:r>
          </w:p>
        </w:tc>
        <w:tc>
          <w:tcPr>
            <w:tcW w:w="260" w:type="dxa"/>
            <w:vAlign w:val="bottom"/>
          </w:tcPr>
          <w:p>
            <w:pPr>
              <w:spacing w:after="0"/>
              <w:rPr>
                <w:sz w:val="16"/>
                <w:szCs w:val="16"/>
                <w:color w:val="auto"/>
              </w:rPr>
            </w:pPr>
          </w:p>
        </w:tc>
        <w:tc>
          <w:tcPr>
            <w:tcW w:w="992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101.DEF</w:t>
            </w:r>
          </w:p>
        </w:tc>
        <w:tc>
          <w:tcPr>
            <w:tcW w:w="260" w:type="dxa"/>
            <w:vAlign w:val="bottom"/>
          </w:tcPr>
          <w:p>
            <w:pPr>
              <w:spacing w:after="0"/>
              <w:rPr>
                <w:sz w:val="16"/>
                <w:szCs w:val="16"/>
                <w:color w:val="auto"/>
              </w:rPr>
            </w:pPr>
          </w:p>
        </w:tc>
        <w:tc>
          <w:tcPr>
            <w:tcW w:w="992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101.LAB</w:t>
            </w:r>
          </w:p>
        </w:tc>
        <w:tc>
          <w:tcPr>
            <w:tcW w:w="260" w:type="dxa"/>
            <w:vAlign w:val="bottom"/>
          </w:tcPr>
          <w:p>
            <w:pPr>
              <w:spacing w:after="0"/>
              <w:rPr>
                <w:sz w:val="16"/>
                <w:szCs w:val="16"/>
                <w:color w:val="auto"/>
              </w:rPr>
            </w:pPr>
          </w:p>
        </w:tc>
        <w:tc>
          <w:tcPr>
            <w:tcW w:w="992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05"/>
        </w:trPr>
        <w:tc>
          <w:tcPr>
            <w:tcW w:w="1240" w:type="dxa"/>
            <w:vAlign w:val="bottom"/>
          </w:tcPr>
          <w:p>
            <w:pPr>
              <w:spacing w:after="0"/>
              <w:rPr>
                <w:sz w:val="20"/>
                <w:szCs w:val="20"/>
                <w:color w:val="auto"/>
              </w:rPr>
            </w:pPr>
            <w:r>
              <w:rPr>
                <w:rFonts w:ascii="Arial" w:cs="Arial" w:eastAsia="Arial" w:hAnsi="Arial"/>
                <w:sz w:val="17"/>
                <w:szCs w:val="17"/>
                <w:color w:val="auto"/>
              </w:rPr>
              <w:t>101.PRE</w:t>
            </w:r>
          </w:p>
        </w:tc>
        <w:tc>
          <w:tcPr>
            <w:tcW w:w="260" w:type="dxa"/>
            <w:vAlign w:val="bottom"/>
          </w:tcPr>
          <w:p>
            <w:pPr>
              <w:spacing w:after="0"/>
              <w:rPr>
                <w:sz w:val="17"/>
                <w:szCs w:val="17"/>
                <w:color w:val="auto"/>
              </w:rPr>
            </w:pPr>
          </w:p>
        </w:tc>
        <w:tc>
          <w:tcPr>
            <w:tcW w:w="9920" w:type="dxa"/>
            <w:vAlign w:val="bottom"/>
            <w:gridSpan w:val="20"/>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bl>
    <w:p>
      <w:pPr>
        <w:ind w:left="1480" w:hanging="1472"/>
        <w:spacing w:after="0"/>
        <w:tabs>
          <w:tab w:leader="none" w:pos="14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Filed herewith.</w:t>
      </w:r>
    </w:p>
    <w:p>
      <w:pPr>
        <w:spacing w:after="0" w:line="34" w:lineRule="exact"/>
        <w:rPr>
          <w:rFonts w:ascii="Arial" w:cs="Arial" w:eastAsia="Arial" w:hAnsi="Arial"/>
          <w:sz w:val="17"/>
          <w:szCs w:val="17"/>
          <w:color w:val="auto"/>
        </w:rPr>
      </w:pPr>
    </w:p>
    <w:p>
      <w:pPr>
        <w:ind w:left="180" w:hanging="172"/>
        <w:spacing w:after="0"/>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4230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Innovex International, Inc.</w:t>
      </w:r>
    </w:p>
    <w:p>
      <w:pPr>
        <w:spacing w:after="0" w:line="198"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 /s/ Kendal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8890</wp:posOffset>
            </wp:positionV>
            <wp:extent cx="3488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7"/>
          <w:szCs w:val="17"/>
          <w:b w:val="1"/>
          <w:bCs w:val="1"/>
          <w:color w:val="auto"/>
        </w:rPr>
        <w:t>Kendal Reed</w:t>
      </w:r>
    </w:p>
    <w:p>
      <w:pPr>
        <w:ind w:left="5740"/>
        <w:spacing w:after="0" w:line="232" w:lineRule="auto"/>
        <w:rPr>
          <w:sz w:val="20"/>
          <w:szCs w:val="20"/>
          <w:color w:val="auto"/>
        </w:rPr>
      </w:pPr>
      <w:r>
        <w:rPr>
          <w:rFonts w:ascii="Arial" w:cs="Arial" w:eastAsia="Arial" w:hAnsi="Arial"/>
          <w:sz w:val="17"/>
          <w:szCs w:val="17"/>
          <w:b w:val="1"/>
          <w:bCs w:val="1"/>
          <w:color w:val="auto"/>
        </w:rPr>
        <w:t>Chief Financial Officer</w:t>
      </w:r>
    </w:p>
    <w:p>
      <w:pPr>
        <w:ind w:left="5740"/>
        <w:spacing w:after="0"/>
        <w:rPr>
          <w:sz w:val="20"/>
          <w:szCs w:val="20"/>
          <w:color w:val="auto"/>
        </w:rPr>
      </w:pPr>
      <w:r>
        <w:rPr>
          <w:rFonts w:ascii="Arial" w:cs="Arial" w:eastAsia="Arial" w:hAnsi="Arial"/>
          <w:sz w:val="17"/>
          <w:szCs w:val="17"/>
          <w:b w:val="1"/>
          <w:b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Adam Anderson, certify that:</w:t>
      </w:r>
    </w:p>
    <w:p>
      <w:pPr>
        <w:spacing w:after="0" w:line="21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Innovex International, Inc.;</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48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40" w:val="left"/>
          <w:tab w:leader="none" w:pos="782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Adam Anderson</w:t>
      </w: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Kendal Reed, certify that:</w:t>
      </w:r>
    </w:p>
    <w:p>
      <w:pPr>
        <w:spacing w:after="0" w:line="21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Innovex International, Inc.;</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48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40" w:val="left"/>
          <w:tab w:leader="none" w:pos="796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Kendal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Kendal Reed</w:t>
      </w:r>
    </w:p>
    <w:p>
      <w:pPr>
        <w:jc w:val="center"/>
        <w:ind w:left="59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Quarterly Report of Innovex International, Inc. (the “Company”) on Form 10-Q for the period ending March 31, 2026 as filed with the Securities and Exchange Commission on the date hereof (the “Report”), I, Adam Anderson, Chief Executive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140" w:hanging="503"/>
        <w:spacing w:after="0" w:line="27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640" w:val="left"/>
          <w:tab w:leader="none" w:pos="782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Adam Anderson</w:t>
      </w: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Quarterly Report of Innovex International, Inc. (the “Company”) on Form 10-Q for the period ending March 31, 2026 as filed with the Securities and Exchange Commission on the date hereof (the “Report”), I, Kendal Reed,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140" w:hanging="503"/>
        <w:spacing w:after="0" w:line="27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640" w:val="left"/>
          <w:tab w:leader="none" w:pos="796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Kendal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Kendal Reed</w:t>
      </w:r>
    </w:p>
    <w:p>
      <w:pPr>
        <w:jc w:val="center"/>
        <w:ind w:left="59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lvl w:ilvl="1">
      <w:lvlJc w:val="left"/>
      <w:lvlText w:val="%2"/>
      <w:numFmt w:val="decimal"/>
      <w:start w:val="104"/>
    </w:lvl>
  </w:abstractNum>
  <w:abstractNum w:abstractNumId="13">
    <w:nsid w:val="6B68079A"/>
    <w:multiLevelType w:val="hybridMultilevel"/>
    <w:lvl w:ilvl="0">
      <w:lvlJc w:val="left"/>
      <w:lvlText w:val="**"/>
      <w:numFmt w:val="bullet"/>
      <w:start w:val="1"/>
    </w:lvl>
    <w:lvl w:ilvl="1">
      <w:lvlJc w:val="left"/>
      <w:lvlText w:val="%2"/>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28" Type="http://schemas.openxmlformats.org/officeDocument/2006/relationships/hyperlink" Target="https://www.sec.gov/Archives/edgar/data/1042893/000104289318000003/a20171231exhibit31.htm" TargetMode="External"/><Relationship Id="rId129" Type="http://schemas.openxmlformats.org/officeDocument/2006/relationships/hyperlink" Target="https://www.sec.gov/Archives/edgar/data/1042893/000104289318000003/a20171231exhibit32.htm" TargetMode="External"/><Relationship Id="rId130" Type="http://schemas.openxmlformats.org/officeDocument/2006/relationships/hyperlink" Target="https://www.sec.gov/Archives/edgar/data/1042893/000119312524215264/d802924dex31.htm" TargetMode="External"/><Relationship Id="rId131" Type="http://schemas.openxmlformats.org/officeDocument/2006/relationships/hyperlink" Target="https://www.sec.gov/Archives/edgar/data/1042893/000095017025071779/invx-ex3_1.htm" TargetMode="External"/><Relationship Id="rId132" Type="http://schemas.openxmlformats.org/officeDocument/2006/relationships/hyperlink" Target="https://www.sec.gov/Archives/edgar/data/1042893/000119312523148118/d444230dex31.htm" TargetMode="External"/><Relationship Id="rId133" Type="http://schemas.openxmlformats.org/officeDocument/2006/relationships/hyperlink" Target="https://www.sec.gov/Archives/edgar/data/1042893/000119312524215264/d8029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2026-05-05T15:34:19Z</dcterms:created>
  <dcterms:modified xsi:type="dcterms:W3CDTF">2026-05-05T15:34:19Z</dcterms:modified>
</cp:coreProperties>
</file>