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2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696912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69125" cy="17145"/>
                    </a:xfrm>
                    <a:prstGeom prst="rect">
                      <a:avLst/>
                    </a:prstGeom>
                    <a:noFill/>
                  </pic:spPr>
                </pic:pic>
              </a:graphicData>
            </a:graphic>
          </wp:anchor>
        </w:drawing>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May 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INNOVEX INTERNATIONAL,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7"/>
          <w:szCs w:val="17"/>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8" w:lineRule="exact"/>
        <w:rPr>
          <w:sz w:val="24"/>
          <w:szCs w:val="24"/>
          <w:color w:val="auto"/>
        </w:rPr>
      </w:pPr>
    </w:p>
    <w:tbl>
      <w:tblPr>
        <w:tblLayout w:type="fixed"/>
        <w:tblInd w:w="2260" w:type="dxa"/>
        <w:tblCellMar>
          <w:top w:w="0" w:type="dxa"/>
          <w:left w:w="0" w:type="dxa"/>
          <w:bottom w:w="0" w:type="dxa"/>
          <w:right w:w="0" w:type="dxa"/>
        </w:tblCellMar>
      </w:tblPr>
      <w:tr>
        <w:trPr>
          <w:trHeight w:val="212"/>
        </w:trPr>
        <w:tc>
          <w:tcPr>
            <w:tcW w:w="2380" w:type="dxa"/>
            <w:vAlign w:val="bottom"/>
          </w:tcPr>
          <w:p>
            <w:pPr>
              <w:jc w:val="center"/>
              <w:ind w:right="642"/>
              <w:spacing w:after="0"/>
              <w:rPr>
                <w:sz w:val="20"/>
                <w:szCs w:val="20"/>
                <w:color w:val="auto"/>
              </w:rPr>
            </w:pPr>
            <w:r>
              <w:rPr>
                <w:rFonts w:ascii="Arial" w:cs="Arial" w:eastAsia="Arial" w:hAnsi="Arial"/>
                <w:sz w:val="18"/>
                <w:szCs w:val="18"/>
                <w:b w:val="1"/>
                <w:bCs w:val="1"/>
                <w:color w:val="auto"/>
                <w:w w:val="98"/>
              </w:rPr>
              <w:t>Delaware</w:t>
            </w:r>
          </w:p>
        </w:tc>
        <w:tc>
          <w:tcPr>
            <w:tcW w:w="2380" w:type="dxa"/>
            <w:vAlign w:val="bottom"/>
          </w:tcPr>
          <w:p>
            <w:pPr>
              <w:ind w:left="740"/>
              <w:spacing w:after="0"/>
              <w:rPr>
                <w:sz w:val="20"/>
                <w:szCs w:val="20"/>
                <w:color w:val="auto"/>
              </w:rPr>
            </w:pPr>
            <w:r>
              <w:rPr>
                <w:rFonts w:ascii="Arial" w:cs="Arial" w:eastAsia="Arial" w:hAnsi="Arial"/>
                <w:sz w:val="18"/>
                <w:szCs w:val="18"/>
                <w:b w:val="1"/>
                <w:bCs w:val="1"/>
                <w:color w:val="auto"/>
              </w:rPr>
              <w:t>001-13439</w:t>
            </w:r>
          </w:p>
        </w:tc>
        <w:tc>
          <w:tcPr>
            <w:tcW w:w="1880" w:type="dxa"/>
            <w:vAlign w:val="bottom"/>
          </w:tcPr>
          <w:p>
            <w:pPr>
              <w:jc w:val="center"/>
              <w:ind w:left="682"/>
              <w:spacing w:after="0"/>
              <w:rPr>
                <w:sz w:val="20"/>
                <w:szCs w:val="20"/>
                <w:color w:val="auto"/>
              </w:rPr>
            </w:pPr>
            <w:r>
              <w:rPr>
                <w:rFonts w:ascii="Arial" w:cs="Arial" w:eastAsia="Arial" w:hAnsi="Arial"/>
                <w:sz w:val="18"/>
                <w:szCs w:val="18"/>
                <w:b w:val="1"/>
                <w:bCs w:val="1"/>
                <w:color w:val="auto"/>
                <w:w w:val="99"/>
              </w:rPr>
              <w:t>74-2162088</w:t>
            </w:r>
          </w:p>
        </w:tc>
      </w:tr>
      <w:tr>
        <w:trPr>
          <w:trHeight w:val="162"/>
        </w:trPr>
        <w:tc>
          <w:tcPr>
            <w:tcW w:w="2380" w:type="dxa"/>
            <w:vAlign w:val="bottom"/>
          </w:tcPr>
          <w:p>
            <w:pPr>
              <w:jc w:val="center"/>
              <w:ind w:right="662"/>
              <w:spacing w:after="0"/>
              <w:rPr>
                <w:sz w:val="20"/>
                <w:szCs w:val="20"/>
                <w:color w:val="auto"/>
              </w:rPr>
            </w:pPr>
            <w:r>
              <w:rPr>
                <w:rFonts w:ascii="Arial" w:cs="Arial" w:eastAsia="Arial" w:hAnsi="Arial"/>
                <w:sz w:val="14"/>
                <w:szCs w:val="14"/>
                <w:color w:val="auto"/>
              </w:rPr>
              <w:t>(State or other jurisdiction</w:t>
            </w:r>
          </w:p>
        </w:tc>
        <w:tc>
          <w:tcPr>
            <w:tcW w:w="2380" w:type="dxa"/>
            <w:vAlign w:val="bottom"/>
          </w:tcPr>
          <w:p>
            <w:pPr>
              <w:ind w:left="740"/>
              <w:spacing w:after="0"/>
              <w:rPr>
                <w:sz w:val="20"/>
                <w:szCs w:val="20"/>
                <w:color w:val="auto"/>
              </w:rPr>
            </w:pPr>
            <w:r>
              <w:rPr>
                <w:rFonts w:ascii="Arial" w:cs="Arial" w:eastAsia="Arial" w:hAnsi="Arial"/>
                <w:sz w:val="14"/>
                <w:szCs w:val="14"/>
                <w:color w:val="auto"/>
              </w:rPr>
              <w:t>(Commission</w:t>
            </w:r>
          </w:p>
        </w:tc>
        <w:tc>
          <w:tcPr>
            <w:tcW w:w="1880" w:type="dxa"/>
            <w:vAlign w:val="bottom"/>
          </w:tcPr>
          <w:p>
            <w:pPr>
              <w:jc w:val="center"/>
              <w:ind w:left="702"/>
              <w:spacing w:after="0"/>
              <w:rPr>
                <w:sz w:val="20"/>
                <w:szCs w:val="20"/>
                <w:color w:val="auto"/>
              </w:rPr>
            </w:pPr>
            <w:r>
              <w:rPr>
                <w:rFonts w:ascii="Arial" w:cs="Arial" w:eastAsia="Arial" w:hAnsi="Arial"/>
                <w:sz w:val="14"/>
                <w:szCs w:val="14"/>
                <w:color w:val="auto"/>
              </w:rPr>
              <w:t>(I.R.S. Employer</w:t>
            </w:r>
          </w:p>
        </w:tc>
      </w:tr>
      <w:tr>
        <w:trPr>
          <w:trHeight w:val="190"/>
        </w:trPr>
        <w:tc>
          <w:tcPr>
            <w:tcW w:w="2380" w:type="dxa"/>
            <w:vAlign w:val="bottom"/>
          </w:tcPr>
          <w:p>
            <w:pPr>
              <w:jc w:val="center"/>
              <w:ind w:right="662"/>
              <w:spacing w:after="0"/>
              <w:rPr>
                <w:sz w:val="20"/>
                <w:szCs w:val="20"/>
                <w:color w:val="auto"/>
              </w:rPr>
            </w:pPr>
            <w:r>
              <w:rPr>
                <w:rFonts w:ascii="Arial" w:cs="Arial" w:eastAsia="Arial" w:hAnsi="Arial"/>
                <w:sz w:val="14"/>
                <w:szCs w:val="14"/>
                <w:color w:val="auto"/>
              </w:rPr>
              <w:t>of incorporation)</w:t>
            </w:r>
          </w:p>
        </w:tc>
        <w:tc>
          <w:tcPr>
            <w:tcW w:w="2380" w:type="dxa"/>
            <w:vAlign w:val="bottom"/>
          </w:tcPr>
          <w:p>
            <w:pPr>
              <w:ind w:left="760"/>
              <w:spacing w:after="0"/>
              <w:rPr>
                <w:sz w:val="20"/>
                <w:szCs w:val="20"/>
                <w:color w:val="auto"/>
              </w:rPr>
            </w:pPr>
            <w:r>
              <w:rPr>
                <w:rFonts w:ascii="Arial" w:cs="Arial" w:eastAsia="Arial" w:hAnsi="Arial"/>
                <w:sz w:val="14"/>
                <w:szCs w:val="14"/>
                <w:color w:val="auto"/>
              </w:rPr>
              <w:t>File Number)</w:t>
            </w:r>
          </w:p>
        </w:tc>
        <w:tc>
          <w:tcPr>
            <w:tcW w:w="1880" w:type="dxa"/>
            <w:vAlign w:val="bottom"/>
          </w:tcPr>
          <w:p>
            <w:pPr>
              <w:jc w:val="center"/>
              <w:ind w:left="682"/>
              <w:spacing w:after="0"/>
              <w:rPr>
                <w:sz w:val="20"/>
                <w:szCs w:val="20"/>
                <w:color w:val="auto"/>
              </w:rPr>
            </w:pPr>
            <w:r>
              <w:rPr>
                <w:rFonts w:ascii="Arial" w:cs="Arial" w:eastAsia="Arial" w:hAnsi="Arial"/>
                <w:sz w:val="14"/>
                <w:szCs w:val="14"/>
                <w:color w:val="auto"/>
              </w:rPr>
              <w:t>Identification No.)</w:t>
            </w:r>
          </w:p>
        </w:tc>
      </w:tr>
    </w:tbl>
    <w:p>
      <w:pPr>
        <w:spacing w:after="0" w:line="97" w:lineRule="exact"/>
        <w:rPr>
          <w:sz w:val="24"/>
          <w:szCs w:val="24"/>
          <w:color w:val="auto"/>
        </w:rPr>
      </w:pPr>
    </w:p>
    <w:tbl>
      <w:tblPr>
        <w:tblLayout w:type="fixed"/>
        <w:tblInd w:w="2720" w:type="dxa"/>
        <w:tblCellMar>
          <w:top w:w="0" w:type="dxa"/>
          <w:left w:w="0" w:type="dxa"/>
          <w:bottom w:w="0" w:type="dxa"/>
          <w:right w:w="0" w:type="dxa"/>
        </w:tblCellMar>
      </w:tblPr>
      <w:tr>
        <w:trPr>
          <w:trHeight w:val="216"/>
        </w:trPr>
        <w:tc>
          <w:tcPr>
            <w:tcW w:w="3680" w:type="dxa"/>
            <w:vAlign w:val="bottom"/>
          </w:tcPr>
          <w:p>
            <w:pPr>
              <w:jc w:val="center"/>
              <w:ind w:right="1116"/>
              <w:spacing w:after="0"/>
              <w:rPr>
                <w:sz w:val="20"/>
                <w:szCs w:val="20"/>
                <w:color w:val="auto"/>
              </w:rPr>
            </w:pPr>
            <w:r>
              <w:rPr>
                <w:rFonts w:ascii="Arial" w:cs="Arial" w:eastAsia="Arial" w:hAnsi="Arial"/>
                <w:sz w:val="18"/>
                <w:szCs w:val="18"/>
                <w:b w:val="1"/>
                <w:bCs w:val="1"/>
                <w:color w:val="auto"/>
                <w:w w:val="99"/>
              </w:rPr>
              <w:t>19120 Kenswick Drive,</w:t>
            </w:r>
          </w:p>
        </w:tc>
        <w:tc>
          <w:tcPr>
            <w:tcW w:w="1900" w:type="dxa"/>
            <w:vAlign w:val="bottom"/>
          </w:tcPr>
          <w:p>
            <w:pPr>
              <w:spacing w:after="0"/>
              <w:rPr>
                <w:sz w:val="18"/>
                <w:szCs w:val="18"/>
                <w:color w:val="auto"/>
              </w:rPr>
            </w:pPr>
          </w:p>
        </w:tc>
      </w:tr>
      <w:tr>
        <w:trPr>
          <w:trHeight w:val="239"/>
        </w:trPr>
        <w:tc>
          <w:tcPr>
            <w:tcW w:w="3680" w:type="dxa"/>
            <w:vAlign w:val="bottom"/>
          </w:tcPr>
          <w:p>
            <w:pPr>
              <w:jc w:val="center"/>
              <w:ind w:right="1116"/>
              <w:spacing w:after="0"/>
              <w:rPr>
                <w:sz w:val="20"/>
                <w:szCs w:val="20"/>
                <w:color w:val="auto"/>
              </w:rPr>
            </w:pPr>
            <w:r>
              <w:rPr>
                <w:rFonts w:ascii="Arial" w:cs="Arial" w:eastAsia="Arial" w:hAnsi="Arial"/>
                <w:sz w:val="18"/>
                <w:szCs w:val="18"/>
                <w:b w:val="1"/>
                <w:bCs w:val="1"/>
                <w:color w:val="auto"/>
              </w:rPr>
              <w:t>Humble, Texas</w:t>
            </w:r>
          </w:p>
        </w:tc>
        <w:tc>
          <w:tcPr>
            <w:tcW w:w="1900" w:type="dxa"/>
            <w:vAlign w:val="bottom"/>
          </w:tcPr>
          <w:p>
            <w:pPr>
              <w:jc w:val="right"/>
              <w:ind w:right="19"/>
              <w:spacing w:after="0"/>
              <w:rPr>
                <w:sz w:val="20"/>
                <w:szCs w:val="20"/>
                <w:color w:val="auto"/>
              </w:rPr>
            </w:pPr>
            <w:r>
              <w:rPr>
                <w:rFonts w:ascii="Arial" w:cs="Arial" w:eastAsia="Arial" w:hAnsi="Arial"/>
                <w:sz w:val="18"/>
                <w:szCs w:val="18"/>
                <w:b w:val="1"/>
                <w:bCs w:val="1"/>
                <w:color w:val="auto"/>
              </w:rPr>
              <w:t>77338</w:t>
            </w:r>
          </w:p>
        </w:tc>
      </w:tr>
      <w:tr>
        <w:trPr>
          <w:trHeight w:val="190"/>
        </w:trPr>
        <w:tc>
          <w:tcPr>
            <w:tcW w:w="3680" w:type="dxa"/>
            <w:vAlign w:val="bottom"/>
          </w:tcPr>
          <w:p>
            <w:pPr>
              <w:jc w:val="center"/>
              <w:ind w:right="1136"/>
              <w:spacing w:after="0"/>
              <w:rPr>
                <w:sz w:val="20"/>
                <w:szCs w:val="20"/>
                <w:color w:val="auto"/>
              </w:rPr>
            </w:pPr>
            <w:r>
              <w:rPr>
                <w:rFonts w:ascii="Arial" w:cs="Arial" w:eastAsia="Arial" w:hAnsi="Arial"/>
                <w:sz w:val="14"/>
                <w:szCs w:val="14"/>
                <w:color w:val="auto"/>
              </w:rPr>
              <w:t>(Address of principal executive offices)</w:t>
            </w:r>
          </w:p>
        </w:tc>
        <w:tc>
          <w:tcPr>
            <w:tcW w:w="1900" w:type="dxa"/>
            <w:vAlign w:val="bottom"/>
          </w:tcPr>
          <w:p>
            <w:pPr>
              <w:jc w:val="center"/>
              <w:ind w:left="1139"/>
              <w:spacing w:after="0"/>
              <w:rPr>
                <w:sz w:val="20"/>
                <w:szCs w:val="20"/>
                <w:color w:val="auto"/>
              </w:rPr>
            </w:pPr>
            <w:r>
              <w:rPr>
                <w:rFonts w:ascii="Arial" w:cs="Arial" w:eastAsia="Arial" w:hAnsi="Arial"/>
                <w:sz w:val="14"/>
                <w:szCs w:val="14"/>
                <w:color w:val="auto"/>
              </w:rPr>
              <w:t>(Zip Code)</w:t>
            </w:r>
          </w:p>
        </w:tc>
      </w:tr>
    </w:tbl>
    <w:p>
      <w:pPr>
        <w:spacing w:after="0" w:line="1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(346) 398-0000</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9" w:lineRule="exact"/>
        <w:rPr>
          <w:sz w:val="24"/>
          <w:szCs w:val="24"/>
          <w:color w:val="auto"/>
        </w:rPr>
      </w:pPr>
    </w:p>
    <w:p>
      <w:pPr>
        <w:spacing w:after="0" w:line="28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w:t>
      </w:r>
      <w:r>
        <w:rPr>
          <w:rFonts w:ascii="Arial" w:cs="Arial" w:eastAsia="Arial" w:hAnsi="Arial"/>
          <w:sz w:val="16"/>
          <w:szCs w:val="16"/>
          <w:i w:val="1"/>
          <w:iCs w:val="1"/>
          <w:color w:val="auto"/>
        </w:rPr>
        <w:t>see</w:t>
      </w:r>
      <w:r>
        <w:rPr>
          <w:rFonts w:ascii="Arial" w:cs="Arial" w:eastAsia="Arial" w:hAnsi="Arial"/>
          <w:sz w:val="16"/>
          <w:szCs w:val="16"/>
          <w:color w:val="auto"/>
        </w:rPr>
        <w:t xml:space="preserve"> General Instruction A.2):</w:t>
      </w:r>
    </w:p>
    <w:p>
      <w:pPr>
        <w:spacing w:after="0" w:line="88"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53" w:lineRule="exact"/>
        <w:rPr>
          <w:rFonts w:ascii="MS PGothic" w:cs="MS PGothic" w:eastAsia="MS PGothic" w:hAnsi="MS PGothic"/>
          <w:sz w:val="16"/>
          <w:szCs w:val="16"/>
          <w:color w:val="auto"/>
        </w:rPr>
      </w:pPr>
    </w:p>
    <w:p>
      <w:pPr>
        <w:ind w:left="400" w:hanging="392"/>
        <w:spacing w:after="0"/>
        <w:tabs>
          <w:tab w:leader="none" w:pos="4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53" w:lineRule="exact"/>
        <w:rPr>
          <w:rFonts w:ascii="MS PGothic" w:cs="MS PGothic" w:eastAsia="MS PGothic" w:hAnsi="MS PGothic"/>
          <w:sz w:val="16"/>
          <w:szCs w:val="16"/>
          <w:color w:val="auto"/>
        </w:rPr>
      </w:pPr>
    </w:p>
    <w:p>
      <w:pPr>
        <w:ind w:left="400" w:hanging="392"/>
        <w:spacing w:after="0"/>
        <w:tabs>
          <w:tab w:leader="none" w:pos="4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53" w:lineRule="exact"/>
        <w:rPr>
          <w:rFonts w:ascii="MS PGothic" w:cs="MS PGothic" w:eastAsia="MS PGothic" w:hAnsi="MS PGothic"/>
          <w:sz w:val="16"/>
          <w:szCs w:val="16"/>
          <w:color w:val="auto"/>
        </w:rPr>
      </w:pPr>
    </w:p>
    <w:p>
      <w:pPr>
        <w:ind w:right="2820" w:firstLine="8"/>
        <w:spacing w:after="0" w:line="533" w:lineRule="auto"/>
        <w:tabs>
          <w:tab w:leader="none" w:pos="4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p>
      <w:pPr>
        <w:spacing w:after="0" w:line="168"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80" w:type="dxa"/>
            <w:vAlign w:val="bottom"/>
          </w:tcPr>
          <w:p>
            <w:pPr>
              <w:jc w:val="center"/>
              <w:spacing w:after="0"/>
              <w:rPr>
                <w:sz w:val="20"/>
                <w:szCs w:val="20"/>
                <w:color w:val="auto"/>
              </w:rPr>
            </w:pPr>
            <w:r>
              <w:rPr>
                <w:rFonts w:ascii="Arial" w:cs="Arial" w:eastAsia="Arial" w:hAnsi="Arial"/>
                <w:sz w:val="16"/>
                <w:szCs w:val="16"/>
                <w:b w:val="1"/>
                <w:bCs w:val="1"/>
                <w:color w:val="auto"/>
              </w:rPr>
              <w:t>Trading</w:t>
            </w:r>
          </w:p>
        </w:tc>
        <w:tc>
          <w:tcPr>
            <w:tcW w:w="120" w:type="dxa"/>
            <w:vAlign w:val="bottom"/>
          </w:tcPr>
          <w:p>
            <w:pPr>
              <w:spacing w:after="0"/>
              <w:rPr>
                <w:sz w:val="16"/>
                <w:szCs w:val="16"/>
                <w:color w:val="auto"/>
              </w:rPr>
            </w:pPr>
          </w:p>
        </w:tc>
        <w:tc>
          <w:tcPr>
            <w:tcW w:w="380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w:t>
            </w:r>
          </w:p>
        </w:tc>
      </w:tr>
      <w:tr>
        <w:trPr>
          <w:trHeight w:val="203"/>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20" w:type="dxa"/>
            <w:vAlign w:val="bottom"/>
          </w:tcPr>
          <w:p>
            <w:pPr>
              <w:spacing w:after="0"/>
              <w:rPr>
                <w:sz w:val="17"/>
                <w:szCs w:val="17"/>
                <w:color w:val="auto"/>
              </w:rPr>
            </w:pPr>
          </w:p>
        </w:tc>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symbol(s)</w:t>
            </w:r>
          </w:p>
        </w:tc>
        <w:tc>
          <w:tcPr>
            <w:tcW w:w="120" w:type="dxa"/>
            <w:vAlign w:val="bottom"/>
          </w:tcPr>
          <w:p>
            <w:pPr>
              <w:spacing w:after="0"/>
              <w:rPr>
                <w:sz w:val="17"/>
                <w:szCs w:val="17"/>
                <w:color w:val="auto"/>
              </w:rPr>
            </w:pPr>
          </w:p>
        </w:tc>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on which registered</w:t>
            </w:r>
          </w:p>
        </w:tc>
      </w:tr>
      <w:tr>
        <w:trPr>
          <w:trHeight w:val="208"/>
        </w:trPr>
        <w:tc>
          <w:tcPr>
            <w:tcW w:w="3820" w:type="dxa"/>
            <w:vAlign w:val="bottom"/>
          </w:tcPr>
          <w:p>
            <w:pPr>
              <w:jc w:val="center"/>
              <w:spacing w:after="0"/>
              <w:rPr>
                <w:sz w:val="20"/>
                <w:szCs w:val="20"/>
                <w:color w:val="auto"/>
              </w:rPr>
            </w:pPr>
            <w:r>
              <w:rPr>
                <w:rFonts w:ascii="Arial" w:cs="Arial" w:eastAsia="Arial" w:hAnsi="Arial"/>
                <w:sz w:val="16"/>
                <w:szCs w:val="16"/>
                <w:color w:val="auto"/>
              </w:rPr>
              <w:t>Common Stock, $.01 par value per share</w:t>
            </w:r>
          </w:p>
        </w:tc>
        <w:tc>
          <w:tcPr>
            <w:tcW w:w="120" w:type="dxa"/>
            <w:vAlign w:val="bottom"/>
          </w:tcPr>
          <w:p>
            <w:pPr>
              <w:spacing w:after="0"/>
              <w:rPr>
                <w:sz w:val="18"/>
                <w:szCs w:val="18"/>
                <w:color w:val="auto"/>
              </w:rPr>
            </w:pPr>
          </w:p>
        </w:tc>
        <w:tc>
          <w:tcPr>
            <w:tcW w:w="3380" w:type="dxa"/>
            <w:vAlign w:val="bottom"/>
          </w:tcPr>
          <w:p>
            <w:pPr>
              <w:jc w:val="center"/>
              <w:spacing w:after="0"/>
              <w:rPr>
                <w:sz w:val="20"/>
                <w:szCs w:val="20"/>
                <w:color w:val="auto"/>
              </w:rPr>
            </w:pPr>
            <w:r>
              <w:rPr>
                <w:rFonts w:ascii="Arial" w:cs="Arial" w:eastAsia="Arial" w:hAnsi="Arial"/>
                <w:sz w:val="16"/>
                <w:szCs w:val="16"/>
                <w:color w:val="auto"/>
              </w:rPr>
              <w:t>INVX</w:t>
            </w:r>
          </w:p>
        </w:tc>
        <w:tc>
          <w:tcPr>
            <w:tcW w:w="120" w:type="dxa"/>
            <w:vAlign w:val="bottom"/>
          </w:tcPr>
          <w:p>
            <w:pPr>
              <w:spacing w:after="0"/>
              <w:rPr>
                <w:sz w:val="18"/>
                <w:szCs w:val="18"/>
                <w:color w:val="auto"/>
              </w:rPr>
            </w:pPr>
          </w:p>
        </w:tc>
        <w:tc>
          <w:tcPr>
            <w:tcW w:w="380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118" w:lineRule="exact"/>
        <w:rPr>
          <w:sz w:val="24"/>
          <w:szCs w:val="24"/>
          <w:color w:val="auto"/>
        </w:rPr>
      </w:pPr>
    </w:p>
    <w:p>
      <w:pPr>
        <w:jc w:val="both"/>
        <w:spacing w:after="0" w:line="27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0" w:lineRule="exact"/>
        <w:rPr>
          <w:sz w:val="24"/>
          <w:szCs w:val="24"/>
          <w:color w:val="auto"/>
        </w:rPr>
      </w:pPr>
    </w:p>
    <w:p>
      <w:pPr>
        <w:ind w:left="420" w:hanging="364"/>
        <w:spacing w:after="0"/>
        <w:tabs>
          <w:tab w:leader="none" w:pos="4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55" w:lineRule="exact"/>
        <w:rPr>
          <w:rFonts w:ascii="MS PGothic" w:cs="MS PGothic" w:eastAsia="MS PGothic" w:hAnsi="MS PGothic"/>
          <w:sz w:val="18"/>
          <w:szCs w:val="18"/>
          <w:color w:val="auto"/>
        </w:rPr>
      </w:pPr>
    </w:p>
    <w:p>
      <w:pPr>
        <w:ind w:left="420" w:right="640" w:hanging="364"/>
        <w:spacing w:after="0" w:line="264" w:lineRule="auto"/>
        <w:tabs>
          <w:tab w:leader="none" w:pos="4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1017905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1927860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tabs>
          <w:tab w:leader="none" w:pos="13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7"/>
          <w:szCs w:val="17"/>
          <w:b w:val="1"/>
          <w:bCs w:val="1"/>
          <w:color w:val="auto"/>
        </w:rPr>
        <w:t>Results of Operations and Financial Condition.</w:t>
      </w:r>
    </w:p>
    <w:p>
      <w:pPr>
        <w:spacing w:after="0" w:line="14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On May 4, 2026, Innovex International, Inc. (the “Company”) issued a press release announcing its results for the quarter ended March 31, 2026. A copy of the press release is furnished as Exhibit 99.1 hereto and is incorporated herein by reference.</w:t>
      </w:r>
    </w:p>
    <w:p>
      <w:pPr>
        <w:spacing w:after="0" w:line="7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Company’s press release announcing its results for the quarter ended March 31, 2026 contain certain non-GAAP financial measures (as defined under the Securities and Exchange Commission’s Regulation G). Generally, a non-GAAP financial measure is a numerical measure of a company’s performance, financial position, or cash flows that either excludes or includes amounts that are not normally excluded or included in the most directly comparable measure calculated and presented in accordance with generally accepted accounting principles, or GAAP. The Company has provided reconciliations within the press release of the non-GAAP measures to the most directly comparable GAAP financial measure.</w:t>
      </w:r>
    </w:p>
    <w:p>
      <w:pPr>
        <w:spacing w:after="0" w:line="11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information in this Item 2.02, including Exhibit 99.1, is being furnished and shall not be deemed “filed” for the purpose of Section 18 of the Securities Exchange Act of 1934, as amended (the “Exchange Act”), or otherwise subject to the liabilities of that section, nor shall such information be deemed incorporated by reference into any filing under the Securities Act of 1933, as amended (the “Securities Act”), or the Exchange Act.</w:t>
      </w:r>
    </w:p>
    <w:p>
      <w:pPr>
        <w:spacing w:after="0" w:line="106"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7"/>
          <w:szCs w:val="17"/>
          <w:b w:val="1"/>
          <w:bCs w:val="1"/>
          <w:color w:val="auto"/>
        </w:rPr>
        <w:t>Regulation FD Disclosure.</w:t>
      </w:r>
    </w:p>
    <w:p>
      <w:pPr>
        <w:spacing w:after="0" w:line="13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On May 4, 2026, the Company issued a press release announcing its results for the quarter ended March 31, 2026. A copy of the press release is set forth in Exhibit 99.1 and is incorporated herein by reference.</w:t>
      </w:r>
    </w:p>
    <w:p>
      <w:pPr>
        <w:spacing w:after="0" w:line="8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information in this Item 7.01, is being furnished and shall not be deemed “filed” for the purpose of Section 18 of the Exchange Act, or otherwise subject to the liabilities of that section, nor shall such information be deemed incorporated by reference into any filing under the Securities Act or the Exchange Act.</w:t>
      </w:r>
    </w:p>
    <w:p>
      <w:pPr>
        <w:spacing w:after="0" w:line="10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announces material information to the public through a variety of means, including filings with the Securities and Exchange Commission, press releases, public conference calls, and on the Company’s investor relations website (https://investors.innovex-inc.com) as means of disclosing material non-public information and for complying with its disclosure obligations under Regulation FD.</w:t>
      </w:r>
    </w:p>
    <w:p>
      <w:pPr>
        <w:spacing w:after="0" w:line="88"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144" w:lineRule="exact"/>
        <w:rPr>
          <w:sz w:val="20"/>
          <w:szCs w:val="20"/>
          <w:color w:val="auto"/>
        </w:rPr>
      </w:pPr>
    </w:p>
    <w:p>
      <w:pPr>
        <w:ind w:left="420" w:hanging="412"/>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98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360" w:type="dxa"/>
            <w:vAlign w:val="bottom"/>
          </w:tcPr>
          <w:p>
            <w:pPr>
              <w:spacing w:after="0" w:line="169" w:lineRule="exact"/>
              <w:rPr>
                <w:sz w:val="20"/>
                <w:szCs w:val="20"/>
                <w:color w:val="auto"/>
              </w:rPr>
            </w:pPr>
            <w:r>
              <w:rPr>
                <w:rFonts w:ascii="Arial" w:cs="Arial" w:eastAsia="Arial" w:hAnsi="Arial"/>
                <w:sz w:val="18"/>
                <w:szCs w:val="18"/>
                <w:color w:val="auto"/>
              </w:rPr>
              <w:t>99.1</w:t>
            </w:r>
          </w:p>
        </w:tc>
        <w:tc>
          <w:tcPr>
            <w:tcW w:w="2780" w:type="dxa"/>
            <w:vAlign w:val="bottom"/>
            <w:tcBorders>
              <w:bottom w:val="single" w:sz="8" w:color="0000FF"/>
            </w:tcBorders>
          </w:tcPr>
          <w:p>
            <w:pPr>
              <w:spacing w:after="0" w:line="169" w:lineRule="exact"/>
              <w:rPr>
                <w:sz w:val="20"/>
                <w:szCs w:val="20"/>
                <w:color w:val="auto"/>
              </w:rPr>
            </w:pPr>
            <w:r>
              <w:rPr>
                <w:rFonts w:ascii="Arial" w:cs="Arial" w:eastAsia="Arial" w:hAnsi="Arial"/>
                <w:sz w:val="18"/>
                <w:szCs w:val="18"/>
                <w:color w:val="0000FF"/>
                <w:w w:val="99"/>
              </w:rPr>
              <w:t>Press Release issued May 4, 2026</w:t>
            </w:r>
          </w:p>
        </w:tc>
        <w:tc>
          <w:tcPr>
            <w:tcW w:w="20" w:type="dxa"/>
            <w:vAlign w:val="bottom"/>
            <w:tcBorders>
              <w:bottom w:val="single" w:sz="8" w:color="0000EE"/>
            </w:tcBorders>
          </w:tcPr>
          <w:p>
            <w:pPr>
              <w:spacing w:after="0"/>
              <w:rPr>
                <w:sz w:val="14"/>
                <w:szCs w:val="14"/>
                <w:color w:val="auto"/>
              </w:rPr>
            </w:pPr>
          </w:p>
        </w:tc>
        <w:tc>
          <w:tcPr>
            <w:tcW w:w="7080" w:type="dxa"/>
            <w:vAlign w:val="bottom"/>
          </w:tcPr>
          <w:p>
            <w:pPr>
              <w:spacing w:after="0"/>
              <w:rPr>
                <w:sz w:val="14"/>
                <w:szCs w:val="14"/>
                <w:color w:val="auto"/>
              </w:rPr>
            </w:pPr>
          </w:p>
        </w:tc>
      </w:tr>
      <w:tr>
        <w:trPr>
          <w:trHeight w:val="232"/>
        </w:trPr>
        <w:tc>
          <w:tcPr>
            <w:tcW w:w="1360" w:type="dxa"/>
            <w:vAlign w:val="bottom"/>
          </w:tcPr>
          <w:p>
            <w:pPr>
              <w:spacing w:after="0"/>
              <w:rPr>
                <w:sz w:val="20"/>
                <w:szCs w:val="20"/>
                <w:color w:val="auto"/>
              </w:rPr>
            </w:pPr>
            <w:r>
              <w:rPr>
                <w:rFonts w:ascii="Arial" w:cs="Arial" w:eastAsia="Arial" w:hAnsi="Arial"/>
                <w:sz w:val="18"/>
                <w:szCs w:val="18"/>
                <w:color w:val="auto"/>
              </w:rPr>
              <w:t>104</w:t>
            </w:r>
          </w:p>
        </w:tc>
        <w:tc>
          <w:tcPr>
            <w:tcW w:w="2800" w:type="dxa"/>
            <w:vAlign w:val="bottom"/>
            <w:gridSpan w:val="2"/>
          </w:tcPr>
          <w:p>
            <w:pPr>
              <w:spacing w:after="0"/>
              <w:rPr>
                <w:sz w:val="20"/>
                <w:szCs w:val="20"/>
                <w:color w:val="auto"/>
              </w:rPr>
            </w:pPr>
            <w:r>
              <w:rPr>
                <w:rFonts w:ascii="Arial" w:cs="Arial" w:eastAsia="Arial" w:hAnsi="Arial"/>
                <w:sz w:val="18"/>
                <w:szCs w:val="18"/>
                <w:color w:val="auto"/>
              </w:rPr>
              <w:t>Cover Page Interactive Data File</w:t>
            </w:r>
          </w:p>
        </w:tc>
        <w:tc>
          <w:tcPr>
            <w:tcW w:w="7080" w:type="dxa"/>
            <w:vAlign w:val="bottom"/>
          </w:tcPr>
          <w:p>
            <w:pPr>
              <w:spacing w:after="0"/>
              <w:rPr>
                <w:sz w:val="20"/>
                <w:szCs w:val="20"/>
                <w:color w:val="auto"/>
              </w:rPr>
            </w:pPr>
            <w:r>
              <w:rPr>
                <w:rFonts w:ascii="Arial" w:cs="Arial" w:eastAsia="Arial" w:hAnsi="Arial"/>
                <w:sz w:val="18"/>
                <w:szCs w:val="18"/>
                <w:color w:val="auto"/>
              </w:rPr>
              <w:t>(formatted as inline XBRL)</w:t>
            </w:r>
          </w:p>
        </w:tc>
      </w:tr>
      <w:tr>
        <w:trPr>
          <w:trHeight w:val="1172"/>
        </w:trPr>
        <w:tc>
          <w:tcPr>
            <w:tcW w:w="136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9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8480"/>
        <w:spacing w:after="0"/>
        <w:rPr>
          <w:sz w:val="20"/>
          <w:szCs w:val="20"/>
          <w:color w:val="auto"/>
        </w:rPr>
      </w:pPr>
      <w:r>
        <w:rPr>
          <w:rFonts w:ascii="Arial" w:cs="Arial" w:eastAsia="Arial" w:hAnsi="Arial"/>
          <w:sz w:val="18"/>
          <w:szCs w:val="18"/>
          <w:b w:val="1"/>
          <w:bCs w:val="1"/>
          <w:color w:val="auto"/>
        </w:rPr>
        <w:t>Innovex International, Inc.</w:t>
      </w:r>
    </w:p>
    <w:p>
      <w:pPr>
        <w:spacing w:after="0" w:line="131" w:lineRule="exact"/>
        <w:rPr>
          <w:sz w:val="20"/>
          <w:szCs w:val="20"/>
          <w:color w:val="auto"/>
        </w:rPr>
      </w:pPr>
    </w:p>
    <w:p>
      <w:pPr>
        <w:spacing w:after="0"/>
        <w:tabs>
          <w:tab w:leader="none" w:pos="8460" w:val="left"/>
          <w:tab w:leader="none" w:pos="8920" w:val="left"/>
        </w:tabs>
        <w:rPr>
          <w:sz w:val="20"/>
          <w:szCs w:val="20"/>
          <w:color w:val="auto"/>
        </w:rPr>
      </w:pPr>
      <w:r>
        <w:rPr>
          <w:rFonts w:ascii="Arial" w:cs="Arial" w:eastAsia="Arial" w:hAnsi="Arial"/>
          <w:sz w:val="18"/>
          <w:szCs w:val="18"/>
          <w:color w:val="auto"/>
        </w:rPr>
        <w:t>Date: May 4,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Kendal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8890</wp:posOffset>
            </wp:positionV>
            <wp:extent cx="14573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3" w:lineRule="exact"/>
        <w:rPr>
          <w:sz w:val="20"/>
          <w:szCs w:val="20"/>
          <w:color w:val="auto"/>
        </w:rPr>
      </w:pPr>
    </w:p>
    <w:p>
      <w:pPr>
        <w:ind w:left="8940"/>
        <w:spacing w:after="0"/>
        <w:rPr>
          <w:sz w:val="20"/>
          <w:szCs w:val="20"/>
          <w:color w:val="auto"/>
        </w:rPr>
      </w:pPr>
      <w:r>
        <w:rPr>
          <w:rFonts w:ascii="Arial" w:cs="Arial" w:eastAsia="Arial" w:hAnsi="Arial"/>
          <w:sz w:val="18"/>
          <w:szCs w:val="18"/>
          <w:color w:val="auto"/>
        </w:rPr>
        <w:t>Kendal Reed</w:t>
      </w:r>
    </w:p>
    <w:p>
      <w:pPr>
        <w:ind w:left="89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252095</wp:posOffset>
            </wp:positionV>
            <wp:extent cx="6318250" cy="797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6318250" cy="79756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Innovex Announces First Quarter 2026 Results</w:t>
      </w:r>
    </w:p>
    <w:p>
      <w:pPr>
        <w:spacing w:after="0" w:line="228" w:lineRule="exact"/>
        <w:rPr>
          <w:sz w:val="20"/>
          <w:szCs w:val="20"/>
          <w:color w:val="auto"/>
        </w:rPr>
      </w:pPr>
    </w:p>
    <w:p>
      <w:pPr>
        <w:ind w:right="580"/>
        <w:spacing w:after="0" w:line="257" w:lineRule="auto"/>
        <w:rPr>
          <w:sz w:val="20"/>
          <w:szCs w:val="20"/>
          <w:color w:val="auto"/>
        </w:rPr>
      </w:pPr>
      <w:r>
        <w:rPr>
          <w:rFonts w:ascii="Arial" w:cs="Arial" w:eastAsia="Arial" w:hAnsi="Arial"/>
          <w:sz w:val="20"/>
          <w:szCs w:val="20"/>
          <w:color w:val="auto"/>
        </w:rPr>
        <w:t>HOUSTON, May 4, 2026 – Innovex International, Inc. (NYSE: INVX) (“Innovex,” the “Company” or “we”) today announced financial and operating results for the first quarter of 2026.</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First Quarter Highlights</w:t>
      </w:r>
    </w:p>
    <w:p>
      <w:pPr>
        <w:spacing w:after="0" w:line="5" w:lineRule="exact"/>
        <w:rPr>
          <w:sz w:val="20"/>
          <w:szCs w:val="20"/>
          <w:color w:val="auto"/>
        </w:rPr>
      </w:pPr>
    </w:p>
    <w:p>
      <w:pPr>
        <w:ind w:left="760" w:hanging="378"/>
        <w:spacing w:after="0"/>
        <w:tabs>
          <w:tab w:leader="none" w:pos="76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Revenue of $239 million, down 13% quarter-over-quarter and down 1% year-over-year</w:t>
      </w:r>
    </w:p>
    <w:p>
      <w:pPr>
        <w:ind w:left="760" w:hanging="378"/>
        <w:spacing w:after="0"/>
        <w:tabs>
          <w:tab w:leader="none" w:pos="76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Net Loss of $17 million and Net Loss Margin of (7)%</w:t>
      </w:r>
    </w:p>
    <w:p>
      <w:pPr>
        <w:spacing w:after="0" w:line="12" w:lineRule="exact"/>
        <w:rPr>
          <w:rFonts w:ascii="Times New Roman" w:cs="Times New Roman" w:eastAsia="Times New Roman" w:hAnsi="Times New Roman"/>
          <w:sz w:val="20"/>
          <w:szCs w:val="20"/>
          <w:color w:val="auto"/>
        </w:rPr>
      </w:pPr>
    </w:p>
    <w:p>
      <w:pPr>
        <w:ind w:left="760" w:hanging="378"/>
        <w:spacing w:after="0" w:line="194" w:lineRule="auto"/>
        <w:tabs>
          <w:tab w:leader="none" w:pos="76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Adjusted EBITDA</w:t>
      </w:r>
      <w:r>
        <w:rPr>
          <w:rFonts w:ascii="Arial" w:cs="Arial" w:eastAsia="Arial" w:hAnsi="Arial"/>
          <w:sz w:val="26"/>
          <w:szCs w:val="26"/>
          <w:color w:val="auto"/>
          <w:vertAlign w:val="superscript"/>
        </w:rPr>
        <w:t>1</w:t>
      </w:r>
      <w:r>
        <w:rPr>
          <w:rFonts w:ascii="Arial" w:cs="Arial" w:eastAsia="Arial" w:hAnsi="Arial"/>
          <w:sz w:val="20"/>
          <w:szCs w:val="20"/>
          <w:color w:val="auto"/>
        </w:rPr>
        <w:t xml:space="preserve"> of $49 million and Adjusted EBITDA Margin</w:t>
      </w:r>
      <w:r>
        <w:rPr>
          <w:rFonts w:ascii="Arial" w:cs="Arial" w:eastAsia="Arial" w:hAnsi="Arial"/>
          <w:sz w:val="26"/>
          <w:szCs w:val="26"/>
          <w:color w:val="auto"/>
          <w:vertAlign w:val="superscript"/>
        </w:rPr>
        <w:t>1</w:t>
      </w:r>
      <w:r>
        <w:rPr>
          <w:rFonts w:ascii="Arial" w:cs="Arial" w:eastAsia="Arial" w:hAnsi="Arial"/>
          <w:sz w:val="20"/>
          <w:szCs w:val="20"/>
          <w:color w:val="auto"/>
        </w:rPr>
        <w:t xml:space="preserve"> of 21%</w:t>
      </w:r>
    </w:p>
    <w:p>
      <w:pPr>
        <w:spacing w:after="0" w:line="1"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Net Cash Provided by Operating Activities of $20 million</w:t>
      </w:r>
    </w:p>
    <w:p>
      <w:pPr>
        <w:spacing w:after="0" w:line="12" w:lineRule="exact"/>
        <w:rPr>
          <w:rFonts w:ascii="Times New Roman" w:cs="Times New Roman" w:eastAsia="Times New Roman" w:hAnsi="Times New Roman"/>
          <w:sz w:val="20"/>
          <w:szCs w:val="20"/>
          <w:color w:val="auto"/>
        </w:rPr>
      </w:pPr>
    </w:p>
    <w:p>
      <w:pPr>
        <w:ind w:left="760" w:hanging="378"/>
        <w:spacing w:after="0" w:line="194" w:lineRule="auto"/>
        <w:tabs>
          <w:tab w:leader="none" w:pos="76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Free Cash Flow</w:t>
      </w:r>
      <w:r>
        <w:rPr>
          <w:rFonts w:ascii="Arial" w:cs="Arial" w:eastAsia="Arial" w:hAnsi="Arial"/>
          <w:sz w:val="26"/>
          <w:szCs w:val="26"/>
          <w:color w:val="auto"/>
          <w:vertAlign w:val="superscript"/>
        </w:rPr>
        <w:t>1</w:t>
      </w:r>
      <w:r>
        <w:rPr>
          <w:rFonts w:ascii="Arial" w:cs="Arial" w:eastAsia="Arial" w:hAnsi="Arial"/>
          <w:sz w:val="20"/>
          <w:szCs w:val="20"/>
          <w:color w:val="auto"/>
        </w:rPr>
        <w:t xml:space="preserve"> of $14 million</w:t>
      </w:r>
    </w:p>
    <w:p>
      <w:pPr>
        <w:spacing w:after="0" w:line="1"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Income from Operations of $89 million (twelve months ended March 31, 2026)</w:t>
      </w:r>
    </w:p>
    <w:p>
      <w:pPr>
        <w:spacing w:after="0" w:line="12" w:lineRule="exact"/>
        <w:rPr>
          <w:rFonts w:ascii="Times New Roman" w:cs="Times New Roman" w:eastAsia="Times New Roman" w:hAnsi="Times New Roman"/>
          <w:sz w:val="20"/>
          <w:szCs w:val="20"/>
          <w:color w:val="auto"/>
        </w:rPr>
      </w:pPr>
    </w:p>
    <w:p>
      <w:pPr>
        <w:ind w:left="760" w:hanging="378"/>
        <w:spacing w:after="0" w:line="194" w:lineRule="auto"/>
        <w:tabs>
          <w:tab w:leader="none" w:pos="76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Return on Capital Employed</w:t>
      </w:r>
      <w:r>
        <w:rPr>
          <w:rFonts w:ascii="Arial" w:cs="Arial" w:eastAsia="Arial" w:hAnsi="Arial"/>
          <w:sz w:val="26"/>
          <w:szCs w:val="26"/>
          <w:color w:val="auto"/>
          <w:vertAlign w:val="superscript"/>
        </w:rPr>
        <w:t>1</w:t>
      </w:r>
      <w:r>
        <w:rPr>
          <w:rFonts w:ascii="Arial" w:cs="Arial" w:eastAsia="Arial" w:hAnsi="Arial"/>
          <w:sz w:val="20"/>
          <w:szCs w:val="20"/>
          <w:color w:val="auto"/>
        </w:rPr>
        <w:t xml:space="preserve"> of 12% (twelve months ended March 31, 2026)</w:t>
      </w:r>
    </w:p>
    <w:p>
      <w:pPr>
        <w:spacing w:after="0" w:line="1" w:lineRule="exact"/>
        <w:rPr>
          <w:rFonts w:ascii="Times New Roman" w:cs="Times New Roman" w:eastAsia="Times New Roman" w:hAnsi="Times New Roman"/>
          <w:sz w:val="20"/>
          <w:szCs w:val="20"/>
          <w:color w:val="auto"/>
        </w:rPr>
      </w:pPr>
    </w:p>
    <w:p>
      <w:pPr>
        <w:ind w:left="760" w:hanging="378"/>
        <w:spacing w:after="0" w:line="238" w:lineRule="auto"/>
        <w:tabs>
          <w:tab w:leader="none" w:pos="76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$201 million of cash and cash equivalents and no bank debt at quarter-end</w:t>
      </w:r>
    </w:p>
    <w:p>
      <w:pPr>
        <w:ind w:left="760" w:hanging="378"/>
        <w:spacing w:after="0" w:line="238" w:lineRule="auto"/>
        <w:tabs>
          <w:tab w:leader="none" w:pos="76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Substantially completed exit from the legacy Eldridge facility</w:t>
      </w:r>
    </w:p>
    <w:p>
      <w:pPr>
        <w:ind w:left="760" w:right="600" w:hanging="378"/>
        <w:spacing w:after="0" w:line="224" w:lineRule="auto"/>
        <w:tabs>
          <w:tab w:leader="none" w:pos="76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Awarded two significant subsea projects in Asia, each exceeding $20 million, including a comprehensive offshore package as well as a mudline wellhead and shallow water tree system award</w:t>
      </w:r>
    </w:p>
    <w:p>
      <w:pPr>
        <w:spacing w:after="0" w:line="1" w:lineRule="exact"/>
        <w:rPr>
          <w:rFonts w:ascii="Times New Roman" w:cs="Times New Roman" w:eastAsia="Times New Roman" w:hAnsi="Times New Roman"/>
          <w:sz w:val="20"/>
          <w:szCs w:val="20"/>
          <w:color w:val="auto"/>
        </w:rPr>
      </w:pPr>
    </w:p>
    <w:p>
      <w:pPr>
        <w:ind w:left="760" w:hanging="378"/>
        <w:spacing w:after="0" w:line="238" w:lineRule="auto"/>
        <w:tabs>
          <w:tab w:leader="none" w:pos="76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Delivered the first subsea wellhead order in Southeast Asia under the OneSubsea alliance</w:t>
      </w:r>
    </w:p>
    <w:p>
      <w:pPr>
        <w:ind w:left="760" w:hanging="378"/>
        <w:spacing w:after="0" w:line="238" w:lineRule="auto"/>
        <w:tabs>
          <w:tab w:leader="none" w:pos="76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Repurchased $14.1 million of our shares at a price of $24.59 per share</w:t>
      </w:r>
    </w:p>
    <w:p>
      <w:pPr>
        <w:ind w:left="760" w:hanging="378"/>
        <w:spacing w:after="0"/>
        <w:tabs>
          <w:tab w:leader="none" w:pos="76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Closed the acquisition of Drilling Innovative Solutions, LLC ("DIS") for $16 million at approximately 4x TTM EBITDA</w:t>
      </w:r>
    </w:p>
    <w:p>
      <w:pPr>
        <w:spacing w:after="0" w:line="98" w:lineRule="exact"/>
        <w:rPr>
          <w:sz w:val="20"/>
          <w:szCs w:val="20"/>
          <w:color w:val="auto"/>
        </w:rPr>
      </w:pPr>
    </w:p>
    <w:p>
      <w:pPr>
        <w:jc w:val="both"/>
        <w:ind w:left="760" w:hanging="378"/>
        <w:spacing w:after="0" w:line="261" w:lineRule="auto"/>
        <w:tabs>
          <w:tab w:leader="none" w:pos="76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Adjusted EBITDA, Adjusted EBITDA Margin, Free Cash Flow and Return on Capital Employed (“ROCE”) are non-GAAP measures. Reconciliations of Adjusted EBITDA to net income, Free Cash Flow to net cash provided by operating activities, and ROCE to income from operations, the most directly comparable financial measures presented in accordance with GAAP, are outlined in the reconciliation tables accompanying this release.</w:t>
      </w:r>
    </w:p>
    <w:p>
      <w:pPr>
        <w:spacing w:after="0" w:line="362"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Adam Anderson, CEO, commented, “We delivered a strong start to 2026, with revenue and Adjusted EBITDA both exceeding the high end of our guidance range. Revenue benefited from strong operational execution, new product introductions, and cross-selling across our global platform. Adjusted EBITDA benefited from favorable mix and earlier than anticipated benefits from the exit of the legacy Eldridge facility. These strong results reinforce our view that our subsea businesses can generate margins in excess of 20% when we apply our proven, capital-light business model. As we look forward, we continue to focus on both organic and inorganic investment opportunities, as well as generating strong free cash flow and exceptional shareholder returns. We believe the quarter demonstrates that our strategy is working. During the quarter, we completed the acquisition of DIS, which adds differentiated production technologies that complement our existing portfolio, strengthen our position in the U.S. offshore market, and create additional opportunities for organic growth. We continue to gain share across multiple markets through innovation, service quality, and the breadth of our integrated platform. We believe this combination of innovation, execution, and capital discipline continues to differentiate Innovex and supports our ability to deliver durable and profitable growth."</w:t>
      </w:r>
    </w:p>
    <w:p>
      <w:pPr>
        <w:spacing w:after="0" w:line="67"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Kendal Reed, CFO, continued, “Our first quarter results reflect the strength of our capital-light, returns-focused business model. Adjusted EBITDA and margins benefited from favorable mix, as well as earlier-than-expected benefits from the transition out of the legacy Eldridge facility, which reduced the manufacturing footprint of our subsea businesses by approximately 85%. We generated strong Free Cash Flow in the quarter, converting approximately 28% of Adjusted EBITDA into free cash flow, and ended the quarter with approximately $201 million of cash and no bank debt, providing significant financial flexibility. The acquisition of DIS exemplifies our focus on returns. We believe we can grow this business significantly through our global distribution, further strengthening the attractive returns on this acquisition, which was purchased approximately at 4x TTM EBITDA. We also repurchased $14.1 million of our shares in the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57"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5420360</wp:posOffset>
            </wp:positionH>
            <wp:positionV relativeFrom="page">
              <wp:posOffset>251460</wp:posOffset>
            </wp:positionV>
            <wp:extent cx="1920240" cy="411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920240" cy="411480"/>
                    </a:xfrm>
                    <a:prstGeom prst="rect">
                      <a:avLst/>
                    </a:prstGeom>
                    <a:noFill/>
                  </pic:spPr>
                </pic:pic>
              </a:graphicData>
            </a:graphic>
          </wp:anchor>
        </w:drawing>
        <w:t>for a price of $24.59 per share, underscoring our confidence in the intrinsic value of Innovex and our commitment to thoughtful capital allocation."</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Financial Summary</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9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2"/>
          </w:tcPr>
          <w:p>
            <w:pPr>
              <w:jc w:val="center"/>
              <w:ind w:right="104"/>
              <w:spacing w:after="0"/>
              <w:rPr>
                <w:sz w:val="20"/>
                <w:szCs w:val="20"/>
                <w:color w:val="auto"/>
              </w:rPr>
            </w:pPr>
            <w:r>
              <w:rPr>
                <w:rFonts w:ascii="Arial" w:cs="Arial" w:eastAsia="Arial" w:hAnsi="Arial"/>
                <w:sz w:val="15"/>
                <w:szCs w:val="15"/>
                <w:b w:val="1"/>
                <w:bCs w:val="1"/>
                <w:color w:val="auto"/>
              </w:rPr>
              <w:t>Three months ended</w:t>
            </w: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r>
      <w:tr>
        <w:trPr>
          <w:trHeight w:val="136"/>
        </w:trPr>
        <w:tc>
          <w:tcPr>
            <w:tcW w:w="5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tcPr>
          <w:p>
            <w:pPr>
              <w:jc w:val="right"/>
              <w:ind w:right="544"/>
              <w:spacing w:after="0" w:line="136" w:lineRule="exact"/>
              <w:rPr>
                <w:sz w:val="20"/>
                <w:szCs w:val="20"/>
                <w:color w:val="auto"/>
              </w:rPr>
            </w:pPr>
            <w:r>
              <w:rPr>
                <w:rFonts w:ascii="Arial" w:cs="Arial" w:eastAsia="Arial" w:hAnsi="Arial"/>
                <w:sz w:val="15"/>
                <w:szCs w:val="15"/>
                <w:b w:val="1"/>
                <w:bCs w:val="1"/>
                <w:color w:val="auto"/>
              </w:rPr>
              <w:t>March 31,</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tcPr>
          <w:p>
            <w:pPr>
              <w:jc w:val="center"/>
              <w:ind w:right="284"/>
              <w:spacing w:after="0" w:line="136" w:lineRule="exact"/>
              <w:rPr>
                <w:sz w:val="20"/>
                <w:szCs w:val="20"/>
                <w:color w:val="auto"/>
              </w:rPr>
            </w:pPr>
            <w:r>
              <w:rPr>
                <w:rFonts w:ascii="Arial" w:cs="Arial" w:eastAsia="Arial" w:hAnsi="Arial"/>
                <w:sz w:val="15"/>
                <w:szCs w:val="15"/>
                <w:b w:val="1"/>
                <w:bCs w:val="1"/>
                <w:color w:val="auto"/>
              </w:rPr>
              <w:t>December 31,</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tcPr>
          <w:p>
            <w:pPr>
              <w:jc w:val="right"/>
              <w:ind w:right="544"/>
              <w:spacing w:after="0" w:line="136" w:lineRule="exact"/>
              <w:rPr>
                <w:sz w:val="20"/>
                <w:szCs w:val="20"/>
                <w:color w:val="auto"/>
              </w:rPr>
            </w:pPr>
            <w:r>
              <w:rPr>
                <w:rFonts w:ascii="Arial" w:cs="Arial" w:eastAsia="Arial" w:hAnsi="Arial"/>
                <w:sz w:val="15"/>
                <w:szCs w:val="15"/>
                <w:b w:val="1"/>
                <w:bCs w:val="1"/>
                <w:color w:val="auto"/>
              </w:rPr>
              <w:t>March 31,</w:t>
            </w:r>
          </w:p>
        </w:tc>
      </w:tr>
      <w:tr>
        <w:trPr>
          <w:trHeight w:val="181"/>
        </w:trPr>
        <w:tc>
          <w:tcPr>
            <w:tcW w:w="5900" w:type="dxa"/>
            <w:vAlign w:val="bottom"/>
          </w:tcPr>
          <w:p>
            <w:pPr>
              <w:spacing w:after="0"/>
              <w:rPr>
                <w:sz w:val="20"/>
                <w:szCs w:val="20"/>
                <w:color w:val="auto"/>
              </w:rPr>
            </w:pPr>
            <w:r>
              <w:rPr>
                <w:rFonts w:ascii="Arial" w:cs="Arial" w:eastAsia="Arial" w:hAnsi="Arial"/>
                <w:sz w:val="15"/>
                <w:szCs w:val="15"/>
                <w:i w:val="1"/>
                <w:iCs w:val="1"/>
                <w:color w:val="auto"/>
              </w:rPr>
              <w:t>(in thousands)</w:t>
            </w: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724"/>
              <w:spacing w:after="0"/>
              <w:rPr>
                <w:sz w:val="20"/>
                <w:szCs w:val="20"/>
                <w:color w:val="auto"/>
              </w:rPr>
            </w:pPr>
            <w:r>
              <w:rPr>
                <w:rFonts w:ascii="Arial" w:cs="Arial" w:eastAsia="Arial" w:hAnsi="Arial"/>
                <w:sz w:val="15"/>
                <w:szCs w:val="15"/>
                <w:b w:val="1"/>
                <w:bCs w:val="1"/>
                <w:color w:val="auto"/>
              </w:rPr>
              <w:t>2026</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center"/>
              <w:ind w:right="304"/>
              <w:spacing w:after="0"/>
              <w:rPr>
                <w:sz w:val="20"/>
                <w:szCs w:val="20"/>
                <w:color w:val="auto"/>
              </w:rPr>
            </w:pPr>
            <w:r>
              <w:rPr>
                <w:rFonts w:ascii="Arial" w:cs="Arial" w:eastAsia="Arial" w:hAnsi="Arial"/>
                <w:sz w:val="15"/>
                <w:szCs w:val="15"/>
                <w:b w:val="1"/>
                <w:bCs w:val="1"/>
                <w:color w:val="auto"/>
              </w:rPr>
              <w:t>2025</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724"/>
              <w:spacing w:after="0"/>
              <w:rPr>
                <w:sz w:val="20"/>
                <w:szCs w:val="20"/>
                <w:color w:val="auto"/>
              </w:rPr>
            </w:pPr>
            <w:r>
              <w:rPr>
                <w:rFonts w:ascii="Arial" w:cs="Arial" w:eastAsia="Arial" w:hAnsi="Arial"/>
                <w:sz w:val="15"/>
                <w:szCs w:val="15"/>
                <w:b w:val="1"/>
                <w:bCs w:val="1"/>
                <w:color w:val="auto"/>
              </w:rPr>
              <w:t>2025</w:t>
            </w:r>
          </w:p>
        </w:tc>
      </w:tr>
      <w:tr>
        <w:trPr>
          <w:trHeight w:val="156"/>
        </w:trPr>
        <w:tc>
          <w:tcPr>
            <w:tcW w:w="5900" w:type="dxa"/>
            <w:vAlign w:val="bottom"/>
            <w:shd w:val="clear" w:color="auto" w:fill="CCEDFF"/>
          </w:tcPr>
          <w:p>
            <w:pPr>
              <w:spacing w:after="0" w:line="156" w:lineRule="exact"/>
              <w:rPr>
                <w:sz w:val="20"/>
                <w:szCs w:val="20"/>
                <w:color w:val="auto"/>
              </w:rPr>
            </w:pPr>
            <w:r>
              <w:rPr>
                <w:rFonts w:ascii="Arial" w:cs="Arial" w:eastAsia="Arial" w:hAnsi="Arial"/>
                <w:sz w:val="15"/>
                <w:szCs w:val="15"/>
                <w:color w:val="auto"/>
              </w:rPr>
              <w:t>Revenue</w:t>
            </w:r>
          </w:p>
        </w:tc>
        <w:tc>
          <w:tcPr>
            <w:tcW w:w="220" w:type="dxa"/>
            <w:vAlign w:val="bottom"/>
            <w:shd w:val="clear" w:color="auto" w:fill="CCEDFF"/>
          </w:tcPr>
          <w:p>
            <w:pPr>
              <w:jc w:val="right"/>
              <w:ind w:right="64"/>
              <w:spacing w:after="0" w:line="156" w:lineRule="exact"/>
              <w:rPr>
                <w:sz w:val="20"/>
                <w:szCs w:val="20"/>
                <w:color w:val="auto"/>
              </w:rPr>
            </w:pPr>
            <w:r>
              <w:rPr>
                <w:rFonts w:ascii="Arial" w:cs="Arial" w:eastAsia="Arial" w:hAnsi="Arial"/>
                <w:sz w:val="15"/>
                <w:szCs w:val="15"/>
                <w:color w:val="auto"/>
                <w:w w:val="71"/>
              </w:rPr>
              <w:t>$</w:t>
            </w:r>
          </w:p>
        </w:tc>
        <w:tc>
          <w:tcPr>
            <w:tcW w:w="1460" w:type="dxa"/>
            <w:vAlign w:val="bottom"/>
            <w:shd w:val="clear" w:color="auto" w:fill="CCEDFF"/>
          </w:tcPr>
          <w:p>
            <w:pPr>
              <w:jc w:val="right"/>
              <w:ind w:right="184"/>
              <w:spacing w:after="0" w:line="156" w:lineRule="exact"/>
              <w:rPr>
                <w:sz w:val="20"/>
                <w:szCs w:val="20"/>
                <w:color w:val="auto"/>
              </w:rPr>
            </w:pPr>
            <w:r>
              <w:rPr>
                <w:rFonts w:ascii="Arial" w:cs="Arial" w:eastAsia="Arial" w:hAnsi="Arial"/>
                <w:sz w:val="15"/>
                <w:szCs w:val="15"/>
                <w:color w:val="auto"/>
              </w:rPr>
              <w:t>239,031</w:t>
            </w:r>
          </w:p>
        </w:tc>
        <w:tc>
          <w:tcPr>
            <w:tcW w:w="300" w:type="dxa"/>
            <w:vAlign w:val="bottom"/>
            <w:gridSpan w:val="2"/>
            <w:shd w:val="clear" w:color="auto" w:fill="CCEDFF"/>
          </w:tcPr>
          <w:p>
            <w:pPr>
              <w:jc w:val="right"/>
              <w:ind w:right="24"/>
              <w:spacing w:after="0" w:line="156" w:lineRule="exact"/>
              <w:rPr>
                <w:sz w:val="20"/>
                <w:szCs w:val="20"/>
                <w:color w:val="auto"/>
              </w:rPr>
            </w:pPr>
            <w:r>
              <w:rPr>
                <w:rFonts w:ascii="Arial" w:cs="Arial" w:eastAsia="Arial" w:hAnsi="Arial"/>
                <w:sz w:val="15"/>
                <w:szCs w:val="15"/>
                <w:color w:val="auto"/>
              </w:rPr>
              <w:t>$</w:t>
            </w:r>
          </w:p>
        </w:tc>
        <w:tc>
          <w:tcPr>
            <w:tcW w:w="1520" w:type="dxa"/>
            <w:vAlign w:val="bottom"/>
            <w:shd w:val="clear" w:color="auto" w:fill="CCEDFF"/>
          </w:tcPr>
          <w:p>
            <w:pPr>
              <w:jc w:val="right"/>
              <w:ind w:right="124"/>
              <w:spacing w:after="0" w:line="156" w:lineRule="exact"/>
              <w:rPr>
                <w:sz w:val="20"/>
                <w:szCs w:val="20"/>
                <w:color w:val="auto"/>
              </w:rPr>
            </w:pPr>
            <w:r>
              <w:rPr>
                <w:rFonts w:ascii="Arial" w:cs="Arial" w:eastAsia="Arial" w:hAnsi="Arial"/>
                <w:sz w:val="15"/>
                <w:szCs w:val="15"/>
                <w:color w:val="auto"/>
              </w:rPr>
              <w:t>273,602</w:t>
            </w:r>
          </w:p>
        </w:tc>
        <w:tc>
          <w:tcPr>
            <w:tcW w:w="360" w:type="dxa"/>
            <w:vAlign w:val="bottom"/>
            <w:gridSpan w:val="2"/>
            <w:shd w:val="clear" w:color="auto" w:fill="CCEDFF"/>
          </w:tcPr>
          <w:p>
            <w:pPr>
              <w:jc w:val="right"/>
              <w:ind w:right="140"/>
              <w:spacing w:after="0" w:line="156" w:lineRule="exact"/>
              <w:rPr>
                <w:sz w:val="20"/>
                <w:szCs w:val="20"/>
                <w:color w:val="auto"/>
              </w:rPr>
            </w:pPr>
            <w:r>
              <w:rPr>
                <w:rFonts w:ascii="Arial" w:cs="Arial" w:eastAsia="Arial" w:hAnsi="Arial"/>
                <w:sz w:val="15"/>
                <w:szCs w:val="15"/>
                <w:color w:val="auto"/>
              </w:rPr>
              <w:t>$</w:t>
            </w:r>
          </w:p>
        </w:tc>
        <w:tc>
          <w:tcPr>
            <w:tcW w:w="1480" w:type="dxa"/>
            <w:vAlign w:val="bottom"/>
            <w:shd w:val="clear" w:color="auto" w:fill="CCEDFF"/>
          </w:tcPr>
          <w:p>
            <w:pPr>
              <w:jc w:val="right"/>
              <w:ind w:right="144"/>
              <w:spacing w:after="0" w:line="156" w:lineRule="exact"/>
              <w:rPr>
                <w:sz w:val="20"/>
                <w:szCs w:val="20"/>
                <w:color w:val="auto"/>
              </w:rPr>
            </w:pPr>
            <w:r>
              <w:rPr>
                <w:rFonts w:ascii="Arial" w:cs="Arial" w:eastAsia="Arial" w:hAnsi="Arial"/>
                <w:sz w:val="15"/>
                <w:szCs w:val="15"/>
                <w:color w:val="auto"/>
              </w:rPr>
              <w:t>240,415</w:t>
            </w:r>
          </w:p>
        </w:tc>
      </w:tr>
      <w:tr>
        <w:trPr>
          <w:trHeight w:val="162"/>
        </w:trPr>
        <w:tc>
          <w:tcPr>
            <w:tcW w:w="5900" w:type="dxa"/>
            <w:vAlign w:val="bottom"/>
          </w:tcPr>
          <w:p>
            <w:pPr>
              <w:spacing w:after="0" w:line="162" w:lineRule="exact"/>
              <w:rPr>
                <w:sz w:val="20"/>
                <w:szCs w:val="20"/>
                <w:color w:val="auto"/>
              </w:rPr>
            </w:pPr>
            <w:r>
              <w:rPr>
                <w:rFonts w:ascii="Arial" w:cs="Arial" w:eastAsia="Arial" w:hAnsi="Arial"/>
                <w:sz w:val="15"/>
                <w:szCs w:val="15"/>
                <w:color w:val="auto"/>
              </w:rPr>
              <w:t>Net income (loss)</w:t>
            </w:r>
          </w:p>
        </w:tc>
        <w:tc>
          <w:tcPr>
            <w:tcW w:w="220" w:type="dxa"/>
            <w:vAlign w:val="bottom"/>
          </w:tcPr>
          <w:p>
            <w:pPr>
              <w:spacing w:after="0"/>
              <w:rPr>
                <w:sz w:val="14"/>
                <w:szCs w:val="14"/>
                <w:color w:val="auto"/>
              </w:rPr>
            </w:pPr>
          </w:p>
        </w:tc>
        <w:tc>
          <w:tcPr>
            <w:tcW w:w="1460" w:type="dxa"/>
            <w:vAlign w:val="bottom"/>
          </w:tcPr>
          <w:p>
            <w:pPr>
              <w:jc w:val="right"/>
              <w:ind w:right="124"/>
              <w:spacing w:after="0" w:line="162" w:lineRule="exact"/>
              <w:rPr>
                <w:sz w:val="20"/>
                <w:szCs w:val="20"/>
                <w:color w:val="auto"/>
              </w:rPr>
            </w:pPr>
            <w:r>
              <w:rPr>
                <w:rFonts w:ascii="Arial" w:cs="Arial" w:eastAsia="Arial" w:hAnsi="Arial"/>
                <w:sz w:val="15"/>
                <w:szCs w:val="15"/>
                <w:color w:val="auto"/>
              </w:rPr>
              <w:t>(16,671)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right"/>
              <w:ind w:right="124"/>
              <w:spacing w:after="0" w:line="162" w:lineRule="exact"/>
              <w:rPr>
                <w:sz w:val="20"/>
                <w:szCs w:val="20"/>
                <w:color w:val="auto"/>
              </w:rPr>
            </w:pPr>
            <w:r>
              <w:rPr>
                <w:rFonts w:ascii="Arial" w:cs="Arial" w:eastAsia="Arial" w:hAnsi="Arial"/>
                <w:sz w:val="15"/>
                <w:szCs w:val="15"/>
                <w:color w:val="auto"/>
              </w:rPr>
              <w:t>13,968</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jc w:val="right"/>
              <w:ind w:right="144"/>
              <w:spacing w:after="0" w:line="162" w:lineRule="exact"/>
              <w:rPr>
                <w:sz w:val="20"/>
                <w:szCs w:val="20"/>
                <w:color w:val="auto"/>
              </w:rPr>
            </w:pPr>
            <w:r>
              <w:rPr>
                <w:rFonts w:ascii="Arial" w:cs="Arial" w:eastAsia="Arial" w:hAnsi="Arial"/>
                <w:sz w:val="15"/>
                <w:szCs w:val="15"/>
                <w:color w:val="auto"/>
              </w:rPr>
              <w:t>14,757</w:t>
            </w:r>
          </w:p>
        </w:tc>
      </w:tr>
      <w:tr>
        <w:trPr>
          <w:trHeight w:val="162"/>
        </w:trPr>
        <w:tc>
          <w:tcPr>
            <w:tcW w:w="5900" w:type="dxa"/>
            <w:vAlign w:val="bottom"/>
            <w:shd w:val="clear" w:color="auto" w:fill="CCEDFF"/>
          </w:tcPr>
          <w:p>
            <w:pPr>
              <w:spacing w:after="0" w:line="162" w:lineRule="exact"/>
              <w:rPr>
                <w:sz w:val="20"/>
                <w:szCs w:val="20"/>
                <w:color w:val="auto"/>
              </w:rPr>
            </w:pPr>
            <w:r>
              <w:rPr>
                <w:rFonts w:ascii="Arial" w:cs="Arial" w:eastAsia="Arial" w:hAnsi="Arial"/>
                <w:sz w:val="15"/>
                <w:szCs w:val="15"/>
                <w:color w:val="auto"/>
              </w:rPr>
              <w:t>Net income (loss) % revenue</w:t>
            </w:r>
          </w:p>
        </w:tc>
        <w:tc>
          <w:tcPr>
            <w:tcW w:w="220" w:type="dxa"/>
            <w:vAlign w:val="bottom"/>
            <w:shd w:val="clear" w:color="auto" w:fill="CCEDFF"/>
          </w:tcPr>
          <w:p>
            <w:pPr>
              <w:spacing w:after="0"/>
              <w:rPr>
                <w:sz w:val="14"/>
                <w:szCs w:val="14"/>
                <w:color w:val="auto"/>
              </w:rPr>
            </w:pPr>
          </w:p>
        </w:tc>
        <w:tc>
          <w:tcPr>
            <w:tcW w:w="1460" w:type="dxa"/>
            <w:vAlign w:val="bottom"/>
            <w:shd w:val="clear" w:color="auto" w:fill="CCEDFF"/>
          </w:tcPr>
          <w:p>
            <w:pPr>
              <w:jc w:val="right"/>
              <w:spacing w:after="0" w:line="162" w:lineRule="exact"/>
              <w:rPr>
                <w:sz w:val="20"/>
                <w:szCs w:val="20"/>
                <w:color w:val="auto"/>
              </w:rPr>
            </w:pPr>
            <w:r>
              <w:rPr>
                <w:rFonts w:ascii="Arial" w:cs="Arial" w:eastAsia="Arial" w:hAnsi="Arial"/>
                <w:sz w:val="15"/>
                <w:szCs w:val="15"/>
                <w:color w:val="auto"/>
              </w:rPr>
              <w:t>(7)%</w:t>
            </w:r>
          </w:p>
        </w:tc>
        <w:tc>
          <w:tcPr>
            <w:tcW w:w="120" w:type="dxa"/>
            <w:vAlign w:val="bottom"/>
            <w:shd w:val="clear" w:color="auto" w:fill="CCEDFF"/>
          </w:tcPr>
          <w:p>
            <w:pPr>
              <w:spacing w:after="0"/>
              <w:rPr>
                <w:sz w:val="14"/>
                <w:szCs w:val="14"/>
                <w:color w:val="auto"/>
              </w:rPr>
            </w:pPr>
          </w:p>
        </w:tc>
        <w:tc>
          <w:tcPr>
            <w:tcW w:w="180" w:type="dxa"/>
            <w:vAlign w:val="bottom"/>
            <w:shd w:val="clear" w:color="auto" w:fill="CCEDFF"/>
          </w:tcPr>
          <w:p>
            <w:pPr>
              <w:spacing w:after="0"/>
              <w:rPr>
                <w:sz w:val="14"/>
                <w:szCs w:val="14"/>
                <w:color w:val="auto"/>
              </w:rPr>
            </w:pPr>
          </w:p>
        </w:tc>
        <w:tc>
          <w:tcPr>
            <w:tcW w:w="1520" w:type="dxa"/>
            <w:vAlign w:val="bottom"/>
            <w:shd w:val="clear" w:color="auto" w:fill="CCEDFF"/>
          </w:tcPr>
          <w:p>
            <w:pPr>
              <w:jc w:val="right"/>
              <w:spacing w:after="0" w:line="162" w:lineRule="exact"/>
              <w:rPr>
                <w:sz w:val="20"/>
                <w:szCs w:val="20"/>
                <w:color w:val="auto"/>
              </w:rPr>
            </w:pPr>
            <w:r>
              <w:rPr>
                <w:rFonts w:ascii="Arial" w:cs="Arial" w:eastAsia="Arial" w:hAnsi="Arial"/>
                <w:sz w:val="15"/>
                <w:szCs w:val="15"/>
                <w:color w:val="auto"/>
              </w:rPr>
              <w:t>5%</w:t>
            </w:r>
          </w:p>
        </w:tc>
        <w:tc>
          <w:tcPr>
            <w:tcW w:w="120" w:type="dxa"/>
            <w:vAlign w:val="bottom"/>
            <w:shd w:val="clear" w:color="auto" w:fill="CCEDFF"/>
          </w:tcPr>
          <w:p>
            <w:pPr>
              <w:spacing w:after="0"/>
              <w:rPr>
                <w:sz w:val="14"/>
                <w:szCs w:val="14"/>
                <w:color w:val="auto"/>
              </w:rPr>
            </w:pPr>
          </w:p>
        </w:tc>
        <w:tc>
          <w:tcPr>
            <w:tcW w:w="240" w:type="dxa"/>
            <w:vAlign w:val="bottom"/>
            <w:shd w:val="clear" w:color="auto" w:fill="CCEDFF"/>
          </w:tcPr>
          <w:p>
            <w:pPr>
              <w:spacing w:after="0"/>
              <w:rPr>
                <w:sz w:val="14"/>
                <w:szCs w:val="14"/>
                <w:color w:val="auto"/>
              </w:rPr>
            </w:pPr>
          </w:p>
        </w:tc>
        <w:tc>
          <w:tcPr>
            <w:tcW w:w="1480" w:type="dxa"/>
            <w:vAlign w:val="bottom"/>
            <w:shd w:val="clear" w:color="auto" w:fill="CCEDFF"/>
          </w:tcPr>
          <w:p>
            <w:pPr>
              <w:jc w:val="right"/>
              <w:spacing w:after="0" w:line="162" w:lineRule="exact"/>
              <w:rPr>
                <w:sz w:val="20"/>
                <w:szCs w:val="20"/>
                <w:color w:val="auto"/>
              </w:rPr>
            </w:pPr>
            <w:r>
              <w:rPr>
                <w:rFonts w:ascii="Arial" w:cs="Arial" w:eastAsia="Arial" w:hAnsi="Arial"/>
                <w:sz w:val="15"/>
                <w:szCs w:val="15"/>
                <w:color w:val="auto"/>
              </w:rPr>
              <w:t>6%</w:t>
            </w:r>
          </w:p>
        </w:tc>
      </w:tr>
      <w:tr>
        <w:trPr>
          <w:trHeight w:val="162"/>
        </w:trPr>
        <w:tc>
          <w:tcPr>
            <w:tcW w:w="5900" w:type="dxa"/>
            <w:vAlign w:val="bottom"/>
          </w:tcPr>
          <w:p>
            <w:pPr>
              <w:spacing w:after="0" w:line="162" w:lineRule="exact"/>
              <w:rPr>
                <w:sz w:val="20"/>
                <w:szCs w:val="20"/>
                <w:color w:val="auto"/>
              </w:rPr>
            </w:pPr>
            <w:r>
              <w:rPr>
                <w:rFonts w:ascii="Arial" w:cs="Arial" w:eastAsia="Arial" w:hAnsi="Arial"/>
                <w:sz w:val="14"/>
                <w:szCs w:val="14"/>
                <w:color w:val="auto"/>
              </w:rPr>
              <w:t xml:space="preserve">Adjusted EBITDA </w:t>
            </w:r>
            <w:r>
              <w:rPr>
                <w:rFonts w:ascii="Arial" w:cs="Arial" w:eastAsia="Arial" w:hAnsi="Arial"/>
                <w:sz w:val="18"/>
                <w:szCs w:val="18"/>
                <w:color w:val="auto"/>
                <w:vertAlign w:val="superscript"/>
              </w:rPr>
              <w:t>(1)</w:t>
            </w:r>
          </w:p>
        </w:tc>
        <w:tc>
          <w:tcPr>
            <w:tcW w:w="220" w:type="dxa"/>
            <w:vAlign w:val="bottom"/>
          </w:tcPr>
          <w:p>
            <w:pPr>
              <w:spacing w:after="0"/>
              <w:rPr>
                <w:sz w:val="14"/>
                <w:szCs w:val="14"/>
                <w:color w:val="auto"/>
              </w:rPr>
            </w:pPr>
          </w:p>
        </w:tc>
        <w:tc>
          <w:tcPr>
            <w:tcW w:w="1460" w:type="dxa"/>
            <w:vAlign w:val="bottom"/>
          </w:tcPr>
          <w:p>
            <w:pPr>
              <w:jc w:val="right"/>
              <w:ind w:right="184"/>
              <w:spacing w:after="0" w:line="162" w:lineRule="exact"/>
              <w:rPr>
                <w:sz w:val="20"/>
                <w:szCs w:val="20"/>
                <w:color w:val="auto"/>
              </w:rPr>
            </w:pPr>
            <w:r>
              <w:rPr>
                <w:rFonts w:ascii="Arial" w:cs="Arial" w:eastAsia="Arial" w:hAnsi="Arial"/>
                <w:sz w:val="15"/>
                <w:szCs w:val="15"/>
                <w:color w:val="auto"/>
              </w:rPr>
              <w:t>49,286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right"/>
              <w:ind w:right="124"/>
              <w:spacing w:after="0" w:line="162" w:lineRule="exact"/>
              <w:rPr>
                <w:sz w:val="20"/>
                <w:szCs w:val="20"/>
                <w:color w:val="auto"/>
              </w:rPr>
            </w:pPr>
            <w:r>
              <w:rPr>
                <w:rFonts w:ascii="Arial" w:cs="Arial" w:eastAsia="Arial" w:hAnsi="Arial"/>
                <w:sz w:val="15"/>
                <w:szCs w:val="15"/>
                <w:color w:val="auto"/>
              </w:rPr>
              <w:t>52,108</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jc w:val="right"/>
              <w:ind w:right="144"/>
              <w:spacing w:after="0" w:line="162" w:lineRule="exact"/>
              <w:rPr>
                <w:sz w:val="20"/>
                <w:szCs w:val="20"/>
                <w:color w:val="auto"/>
              </w:rPr>
            </w:pPr>
            <w:r>
              <w:rPr>
                <w:rFonts w:ascii="Arial" w:cs="Arial" w:eastAsia="Arial" w:hAnsi="Arial"/>
                <w:sz w:val="15"/>
                <w:szCs w:val="15"/>
                <w:color w:val="auto"/>
              </w:rPr>
              <w:t>45,921</w:t>
            </w:r>
          </w:p>
        </w:tc>
      </w:tr>
      <w:tr>
        <w:trPr>
          <w:trHeight w:val="162"/>
        </w:trPr>
        <w:tc>
          <w:tcPr>
            <w:tcW w:w="5900" w:type="dxa"/>
            <w:vAlign w:val="bottom"/>
            <w:shd w:val="clear" w:color="auto" w:fill="CCEDFF"/>
          </w:tcPr>
          <w:p>
            <w:pPr>
              <w:spacing w:after="0" w:line="162" w:lineRule="exact"/>
              <w:rPr>
                <w:sz w:val="20"/>
                <w:szCs w:val="20"/>
                <w:color w:val="auto"/>
              </w:rPr>
            </w:pPr>
            <w:r>
              <w:rPr>
                <w:rFonts w:ascii="Arial" w:cs="Arial" w:eastAsia="Arial" w:hAnsi="Arial"/>
                <w:sz w:val="14"/>
                <w:szCs w:val="14"/>
                <w:color w:val="auto"/>
              </w:rPr>
              <w:t xml:space="preserve">Adjusted EBITDA Margin </w:t>
            </w:r>
            <w:r>
              <w:rPr>
                <w:rFonts w:ascii="Arial" w:cs="Arial" w:eastAsia="Arial" w:hAnsi="Arial"/>
                <w:sz w:val="18"/>
                <w:szCs w:val="18"/>
                <w:color w:val="auto"/>
                <w:vertAlign w:val="superscript"/>
              </w:rPr>
              <w:t>(1)</w:t>
            </w:r>
          </w:p>
        </w:tc>
        <w:tc>
          <w:tcPr>
            <w:tcW w:w="220" w:type="dxa"/>
            <w:vAlign w:val="bottom"/>
            <w:shd w:val="clear" w:color="auto" w:fill="CCEDFF"/>
          </w:tcPr>
          <w:p>
            <w:pPr>
              <w:spacing w:after="0"/>
              <w:rPr>
                <w:sz w:val="14"/>
                <w:szCs w:val="14"/>
                <w:color w:val="auto"/>
              </w:rPr>
            </w:pPr>
          </w:p>
        </w:tc>
        <w:tc>
          <w:tcPr>
            <w:tcW w:w="1460" w:type="dxa"/>
            <w:vAlign w:val="bottom"/>
            <w:shd w:val="clear" w:color="auto" w:fill="CCEDFF"/>
          </w:tcPr>
          <w:p>
            <w:pPr>
              <w:jc w:val="right"/>
              <w:ind w:right="44"/>
              <w:spacing w:after="0" w:line="162" w:lineRule="exact"/>
              <w:rPr>
                <w:sz w:val="20"/>
                <w:szCs w:val="20"/>
                <w:color w:val="auto"/>
              </w:rPr>
            </w:pPr>
            <w:r>
              <w:rPr>
                <w:rFonts w:ascii="Arial" w:cs="Arial" w:eastAsia="Arial" w:hAnsi="Arial"/>
                <w:sz w:val="15"/>
                <w:szCs w:val="15"/>
                <w:color w:val="auto"/>
              </w:rPr>
              <w:t>21%</w:t>
            </w:r>
          </w:p>
        </w:tc>
        <w:tc>
          <w:tcPr>
            <w:tcW w:w="120" w:type="dxa"/>
            <w:vAlign w:val="bottom"/>
            <w:shd w:val="clear" w:color="auto" w:fill="CCEDFF"/>
          </w:tcPr>
          <w:p>
            <w:pPr>
              <w:spacing w:after="0"/>
              <w:rPr>
                <w:sz w:val="14"/>
                <w:szCs w:val="14"/>
                <w:color w:val="auto"/>
              </w:rPr>
            </w:pPr>
          </w:p>
        </w:tc>
        <w:tc>
          <w:tcPr>
            <w:tcW w:w="180" w:type="dxa"/>
            <w:vAlign w:val="bottom"/>
            <w:shd w:val="clear" w:color="auto" w:fill="CCEDFF"/>
          </w:tcPr>
          <w:p>
            <w:pPr>
              <w:spacing w:after="0"/>
              <w:rPr>
                <w:sz w:val="14"/>
                <w:szCs w:val="14"/>
                <w:color w:val="auto"/>
              </w:rPr>
            </w:pPr>
          </w:p>
        </w:tc>
        <w:tc>
          <w:tcPr>
            <w:tcW w:w="1520" w:type="dxa"/>
            <w:vAlign w:val="bottom"/>
            <w:shd w:val="clear" w:color="auto" w:fill="CCEDFF"/>
          </w:tcPr>
          <w:p>
            <w:pPr>
              <w:jc w:val="right"/>
              <w:spacing w:after="0" w:line="162" w:lineRule="exact"/>
              <w:rPr>
                <w:sz w:val="20"/>
                <w:szCs w:val="20"/>
                <w:color w:val="auto"/>
              </w:rPr>
            </w:pPr>
            <w:r>
              <w:rPr>
                <w:rFonts w:ascii="Arial" w:cs="Arial" w:eastAsia="Arial" w:hAnsi="Arial"/>
                <w:sz w:val="15"/>
                <w:szCs w:val="15"/>
                <w:color w:val="auto"/>
              </w:rPr>
              <w:t>19%</w:t>
            </w:r>
          </w:p>
        </w:tc>
        <w:tc>
          <w:tcPr>
            <w:tcW w:w="120" w:type="dxa"/>
            <w:vAlign w:val="bottom"/>
            <w:shd w:val="clear" w:color="auto" w:fill="CCEDFF"/>
          </w:tcPr>
          <w:p>
            <w:pPr>
              <w:spacing w:after="0"/>
              <w:rPr>
                <w:sz w:val="14"/>
                <w:szCs w:val="14"/>
                <w:color w:val="auto"/>
              </w:rPr>
            </w:pPr>
          </w:p>
        </w:tc>
        <w:tc>
          <w:tcPr>
            <w:tcW w:w="240" w:type="dxa"/>
            <w:vAlign w:val="bottom"/>
            <w:shd w:val="clear" w:color="auto" w:fill="CCEDFF"/>
          </w:tcPr>
          <w:p>
            <w:pPr>
              <w:spacing w:after="0"/>
              <w:rPr>
                <w:sz w:val="14"/>
                <w:szCs w:val="14"/>
                <w:color w:val="auto"/>
              </w:rPr>
            </w:pPr>
          </w:p>
        </w:tc>
        <w:tc>
          <w:tcPr>
            <w:tcW w:w="1480" w:type="dxa"/>
            <w:vAlign w:val="bottom"/>
            <w:shd w:val="clear" w:color="auto" w:fill="CCEDFF"/>
          </w:tcPr>
          <w:p>
            <w:pPr>
              <w:jc w:val="right"/>
              <w:spacing w:after="0" w:line="162" w:lineRule="exact"/>
              <w:rPr>
                <w:sz w:val="20"/>
                <w:szCs w:val="20"/>
                <w:color w:val="auto"/>
              </w:rPr>
            </w:pPr>
            <w:r>
              <w:rPr>
                <w:rFonts w:ascii="Arial" w:cs="Arial" w:eastAsia="Arial" w:hAnsi="Arial"/>
                <w:sz w:val="15"/>
                <w:szCs w:val="15"/>
                <w:color w:val="auto"/>
              </w:rPr>
              <w:t>19%</w:t>
            </w:r>
          </w:p>
        </w:tc>
      </w:tr>
      <w:tr>
        <w:trPr>
          <w:trHeight w:val="162"/>
        </w:trPr>
        <w:tc>
          <w:tcPr>
            <w:tcW w:w="5900" w:type="dxa"/>
            <w:vAlign w:val="bottom"/>
          </w:tcPr>
          <w:p>
            <w:pPr>
              <w:spacing w:after="0" w:line="162" w:lineRule="exact"/>
              <w:rPr>
                <w:sz w:val="20"/>
                <w:szCs w:val="20"/>
                <w:color w:val="auto"/>
              </w:rPr>
            </w:pPr>
            <w:r>
              <w:rPr>
                <w:rFonts w:ascii="Arial" w:cs="Arial" w:eastAsia="Arial" w:hAnsi="Arial"/>
                <w:sz w:val="15"/>
                <w:szCs w:val="15"/>
                <w:color w:val="auto"/>
              </w:rPr>
              <w:t>Net cash provided by operating activities</w:t>
            </w:r>
          </w:p>
        </w:tc>
        <w:tc>
          <w:tcPr>
            <w:tcW w:w="220" w:type="dxa"/>
            <w:vAlign w:val="bottom"/>
          </w:tcPr>
          <w:p>
            <w:pPr>
              <w:spacing w:after="0"/>
              <w:rPr>
                <w:sz w:val="14"/>
                <w:szCs w:val="14"/>
                <w:color w:val="auto"/>
              </w:rPr>
            </w:pPr>
          </w:p>
        </w:tc>
        <w:tc>
          <w:tcPr>
            <w:tcW w:w="1460" w:type="dxa"/>
            <w:vAlign w:val="bottom"/>
          </w:tcPr>
          <w:p>
            <w:pPr>
              <w:jc w:val="right"/>
              <w:ind w:right="184"/>
              <w:spacing w:after="0" w:line="162" w:lineRule="exact"/>
              <w:rPr>
                <w:sz w:val="20"/>
                <w:szCs w:val="20"/>
                <w:color w:val="auto"/>
              </w:rPr>
            </w:pPr>
            <w:r>
              <w:rPr>
                <w:rFonts w:ascii="Arial" w:cs="Arial" w:eastAsia="Arial" w:hAnsi="Arial"/>
                <w:sz w:val="15"/>
                <w:szCs w:val="15"/>
                <w:color w:val="auto"/>
              </w:rPr>
              <w:t>19,840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right"/>
              <w:ind w:right="124"/>
              <w:spacing w:after="0" w:line="162" w:lineRule="exact"/>
              <w:rPr>
                <w:sz w:val="20"/>
                <w:szCs w:val="20"/>
                <w:color w:val="auto"/>
              </w:rPr>
            </w:pPr>
            <w:r>
              <w:rPr>
                <w:rFonts w:ascii="Arial" w:cs="Arial" w:eastAsia="Arial" w:hAnsi="Arial"/>
                <w:sz w:val="15"/>
                <w:szCs w:val="15"/>
                <w:color w:val="auto"/>
              </w:rPr>
              <w:t>52,238</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jc w:val="right"/>
              <w:ind w:right="144"/>
              <w:spacing w:after="0" w:line="162" w:lineRule="exact"/>
              <w:rPr>
                <w:sz w:val="20"/>
                <w:szCs w:val="20"/>
                <w:color w:val="auto"/>
              </w:rPr>
            </w:pPr>
            <w:r>
              <w:rPr>
                <w:rFonts w:ascii="Arial" w:cs="Arial" w:eastAsia="Arial" w:hAnsi="Arial"/>
                <w:sz w:val="15"/>
                <w:szCs w:val="15"/>
                <w:color w:val="auto"/>
              </w:rPr>
              <w:t>31,090</w:t>
            </w:r>
          </w:p>
        </w:tc>
      </w:tr>
      <w:tr>
        <w:trPr>
          <w:trHeight w:val="162"/>
        </w:trPr>
        <w:tc>
          <w:tcPr>
            <w:tcW w:w="5900" w:type="dxa"/>
            <w:vAlign w:val="bottom"/>
            <w:shd w:val="clear" w:color="auto" w:fill="CCEDFF"/>
          </w:tcPr>
          <w:p>
            <w:pPr>
              <w:spacing w:after="0" w:line="162" w:lineRule="exact"/>
              <w:rPr>
                <w:sz w:val="20"/>
                <w:szCs w:val="20"/>
                <w:color w:val="auto"/>
              </w:rPr>
            </w:pPr>
            <w:r>
              <w:rPr>
                <w:rFonts w:ascii="Arial" w:cs="Arial" w:eastAsia="Arial" w:hAnsi="Arial"/>
                <w:sz w:val="14"/>
                <w:szCs w:val="14"/>
                <w:color w:val="auto"/>
              </w:rPr>
              <w:t xml:space="preserve">Free Cash Flow </w:t>
            </w:r>
            <w:r>
              <w:rPr>
                <w:rFonts w:ascii="Arial" w:cs="Arial" w:eastAsia="Arial" w:hAnsi="Arial"/>
                <w:sz w:val="18"/>
                <w:szCs w:val="18"/>
                <w:color w:val="auto"/>
                <w:vertAlign w:val="superscript"/>
              </w:rPr>
              <w:t>(1)</w:t>
            </w:r>
          </w:p>
        </w:tc>
        <w:tc>
          <w:tcPr>
            <w:tcW w:w="220" w:type="dxa"/>
            <w:vAlign w:val="bottom"/>
            <w:shd w:val="clear" w:color="auto" w:fill="CCEDFF"/>
          </w:tcPr>
          <w:p>
            <w:pPr>
              <w:spacing w:after="0"/>
              <w:rPr>
                <w:sz w:val="14"/>
                <w:szCs w:val="14"/>
                <w:color w:val="auto"/>
              </w:rPr>
            </w:pPr>
          </w:p>
        </w:tc>
        <w:tc>
          <w:tcPr>
            <w:tcW w:w="1460" w:type="dxa"/>
            <w:vAlign w:val="bottom"/>
            <w:shd w:val="clear" w:color="auto" w:fill="CCEDFF"/>
          </w:tcPr>
          <w:p>
            <w:pPr>
              <w:jc w:val="right"/>
              <w:ind w:right="184"/>
              <w:spacing w:after="0" w:line="162" w:lineRule="exact"/>
              <w:rPr>
                <w:sz w:val="20"/>
                <w:szCs w:val="20"/>
                <w:color w:val="auto"/>
              </w:rPr>
            </w:pPr>
            <w:r>
              <w:rPr>
                <w:rFonts w:ascii="Arial" w:cs="Arial" w:eastAsia="Arial" w:hAnsi="Arial"/>
                <w:sz w:val="15"/>
                <w:szCs w:val="15"/>
                <w:color w:val="auto"/>
              </w:rPr>
              <w:t>14,013</w:t>
            </w:r>
          </w:p>
        </w:tc>
        <w:tc>
          <w:tcPr>
            <w:tcW w:w="120" w:type="dxa"/>
            <w:vAlign w:val="bottom"/>
            <w:shd w:val="clear" w:color="auto" w:fill="CCEDFF"/>
          </w:tcPr>
          <w:p>
            <w:pPr>
              <w:spacing w:after="0"/>
              <w:rPr>
                <w:sz w:val="14"/>
                <w:szCs w:val="14"/>
                <w:color w:val="auto"/>
              </w:rPr>
            </w:pPr>
          </w:p>
        </w:tc>
        <w:tc>
          <w:tcPr>
            <w:tcW w:w="180" w:type="dxa"/>
            <w:vAlign w:val="bottom"/>
            <w:shd w:val="clear" w:color="auto" w:fill="CCEDFF"/>
          </w:tcPr>
          <w:p>
            <w:pPr>
              <w:spacing w:after="0"/>
              <w:rPr>
                <w:sz w:val="14"/>
                <w:szCs w:val="14"/>
                <w:color w:val="auto"/>
              </w:rPr>
            </w:pPr>
          </w:p>
        </w:tc>
        <w:tc>
          <w:tcPr>
            <w:tcW w:w="1520" w:type="dxa"/>
            <w:vAlign w:val="bottom"/>
            <w:shd w:val="clear" w:color="auto" w:fill="CCEDFF"/>
          </w:tcPr>
          <w:p>
            <w:pPr>
              <w:jc w:val="right"/>
              <w:ind w:right="124"/>
              <w:spacing w:after="0" w:line="162" w:lineRule="exact"/>
              <w:rPr>
                <w:sz w:val="20"/>
                <w:szCs w:val="20"/>
                <w:color w:val="auto"/>
              </w:rPr>
            </w:pPr>
            <w:r>
              <w:rPr>
                <w:rFonts w:ascii="Arial" w:cs="Arial" w:eastAsia="Arial" w:hAnsi="Arial"/>
                <w:sz w:val="15"/>
                <w:szCs w:val="15"/>
                <w:color w:val="auto"/>
              </w:rPr>
              <w:t>43,311</w:t>
            </w:r>
          </w:p>
        </w:tc>
        <w:tc>
          <w:tcPr>
            <w:tcW w:w="120" w:type="dxa"/>
            <w:vAlign w:val="bottom"/>
            <w:shd w:val="clear" w:color="auto" w:fill="CCEDFF"/>
          </w:tcPr>
          <w:p>
            <w:pPr>
              <w:spacing w:after="0"/>
              <w:rPr>
                <w:sz w:val="14"/>
                <w:szCs w:val="14"/>
                <w:color w:val="auto"/>
              </w:rPr>
            </w:pPr>
          </w:p>
        </w:tc>
        <w:tc>
          <w:tcPr>
            <w:tcW w:w="240" w:type="dxa"/>
            <w:vAlign w:val="bottom"/>
            <w:shd w:val="clear" w:color="auto" w:fill="CCEDFF"/>
          </w:tcPr>
          <w:p>
            <w:pPr>
              <w:spacing w:after="0"/>
              <w:rPr>
                <w:sz w:val="14"/>
                <w:szCs w:val="14"/>
                <w:color w:val="auto"/>
              </w:rPr>
            </w:pPr>
          </w:p>
        </w:tc>
        <w:tc>
          <w:tcPr>
            <w:tcW w:w="1480" w:type="dxa"/>
            <w:vAlign w:val="bottom"/>
            <w:shd w:val="clear" w:color="auto" w:fill="CCEDFF"/>
          </w:tcPr>
          <w:p>
            <w:pPr>
              <w:jc w:val="right"/>
              <w:ind w:right="144"/>
              <w:spacing w:after="0" w:line="162" w:lineRule="exact"/>
              <w:rPr>
                <w:sz w:val="20"/>
                <w:szCs w:val="20"/>
                <w:color w:val="auto"/>
              </w:rPr>
            </w:pPr>
            <w:r>
              <w:rPr>
                <w:rFonts w:ascii="Arial" w:cs="Arial" w:eastAsia="Arial" w:hAnsi="Arial"/>
                <w:sz w:val="15"/>
                <w:szCs w:val="15"/>
                <w:color w:val="auto"/>
              </w:rPr>
              <w:t>24,034</w:t>
            </w:r>
          </w:p>
        </w:tc>
      </w:tr>
      <w:tr>
        <w:trPr>
          <w:trHeight w:val="200"/>
        </w:trPr>
        <w:tc>
          <w:tcPr>
            <w:tcW w:w="5900" w:type="dxa"/>
            <w:vAlign w:val="bottom"/>
          </w:tcPr>
          <w:p>
            <w:pPr>
              <w:spacing w:after="0"/>
              <w:rPr>
                <w:sz w:val="20"/>
                <w:szCs w:val="20"/>
                <w:color w:val="auto"/>
              </w:rPr>
            </w:pPr>
            <w:r>
              <w:rPr>
                <w:rFonts w:ascii="Arial" w:cs="Arial" w:eastAsia="Arial" w:hAnsi="Arial"/>
                <w:sz w:val="15"/>
                <w:szCs w:val="15"/>
                <w:color w:val="auto"/>
              </w:rPr>
              <w:t>Income (loss) from operations</w:t>
            </w:r>
          </w:p>
        </w:tc>
        <w:tc>
          <w:tcPr>
            <w:tcW w:w="220" w:type="dxa"/>
            <w:vAlign w:val="bottom"/>
          </w:tcPr>
          <w:p>
            <w:pPr>
              <w:spacing w:after="0"/>
              <w:rPr>
                <w:sz w:val="17"/>
                <w:szCs w:val="17"/>
                <w:color w:val="auto"/>
              </w:rPr>
            </w:pPr>
          </w:p>
        </w:tc>
        <w:tc>
          <w:tcPr>
            <w:tcW w:w="1460" w:type="dxa"/>
            <w:vAlign w:val="bottom"/>
          </w:tcPr>
          <w:p>
            <w:pPr>
              <w:jc w:val="right"/>
              <w:ind w:right="124"/>
              <w:spacing w:after="0"/>
              <w:rPr>
                <w:sz w:val="20"/>
                <w:szCs w:val="20"/>
                <w:color w:val="auto"/>
              </w:rPr>
            </w:pPr>
            <w:r>
              <w:rPr>
                <w:rFonts w:ascii="Arial" w:cs="Arial" w:eastAsia="Arial" w:hAnsi="Arial"/>
                <w:sz w:val="15"/>
                <w:szCs w:val="15"/>
                <w:color w:val="auto"/>
              </w:rPr>
              <w:t>(21,832)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jc w:val="right"/>
              <w:ind w:right="124"/>
              <w:spacing w:after="0"/>
              <w:rPr>
                <w:sz w:val="20"/>
                <w:szCs w:val="20"/>
                <w:color w:val="auto"/>
              </w:rPr>
            </w:pPr>
            <w:r>
              <w:rPr>
                <w:rFonts w:ascii="Arial" w:cs="Arial" w:eastAsia="Arial" w:hAnsi="Arial"/>
                <w:sz w:val="15"/>
                <w:szCs w:val="15"/>
                <w:color w:val="auto"/>
              </w:rPr>
              <w:t>25,796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ind w:right="144"/>
              <w:spacing w:after="0"/>
              <w:rPr>
                <w:sz w:val="20"/>
                <w:szCs w:val="20"/>
                <w:color w:val="auto"/>
              </w:rPr>
            </w:pPr>
            <w:r>
              <w:rPr>
                <w:rFonts w:ascii="Arial" w:cs="Arial" w:eastAsia="Arial" w:hAnsi="Arial"/>
                <w:sz w:val="15"/>
                <w:szCs w:val="15"/>
                <w:color w:val="auto"/>
              </w:rPr>
              <w:t>21,850</w:t>
            </w:r>
          </w:p>
        </w:tc>
      </w:tr>
    </w:tbl>
    <w:p>
      <w:pPr>
        <w:spacing w:after="0" w:line="64" w:lineRule="exact"/>
        <w:rPr>
          <w:sz w:val="20"/>
          <w:szCs w:val="20"/>
          <w:color w:val="auto"/>
        </w:rPr>
      </w:pPr>
    </w:p>
    <w:p>
      <w:pPr>
        <w:ind w:left="7620"/>
        <w:spacing w:after="0"/>
        <w:rPr>
          <w:sz w:val="20"/>
          <w:szCs w:val="20"/>
          <w:color w:val="auto"/>
        </w:rPr>
      </w:pPr>
      <w:r>
        <w:rPr>
          <w:rFonts w:ascii="Arial" w:cs="Arial" w:eastAsia="Arial" w:hAnsi="Arial"/>
          <w:sz w:val="15"/>
          <w:szCs w:val="15"/>
          <w:b w:val="1"/>
          <w:bCs w:val="1"/>
          <w:color w:val="auto"/>
        </w:rPr>
        <w:t>Twelve Months Ended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5820" w:type="dxa"/>
            <w:vAlign w:val="bottom"/>
          </w:tcPr>
          <w:p>
            <w:pPr>
              <w:spacing w:after="0"/>
              <w:rPr>
                <w:sz w:val="11"/>
                <w:szCs w:val="11"/>
                <w:color w:val="auto"/>
              </w:rPr>
            </w:pPr>
          </w:p>
        </w:tc>
        <w:tc>
          <w:tcPr>
            <w:tcW w:w="1280" w:type="dxa"/>
            <w:vAlign w:val="bottom"/>
            <w:tcBorders>
              <w:top w:val="single" w:sz="8" w:color="auto"/>
            </w:tcBorders>
          </w:tcPr>
          <w:p>
            <w:pPr>
              <w:jc w:val="center"/>
              <w:ind w:left="224"/>
              <w:spacing w:after="0" w:line="136" w:lineRule="exact"/>
              <w:rPr>
                <w:sz w:val="20"/>
                <w:szCs w:val="20"/>
                <w:color w:val="auto"/>
              </w:rPr>
            </w:pPr>
            <w:r>
              <w:rPr>
                <w:rFonts w:ascii="Arial" w:cs="Arial" w:eastAsia="Arial" w:hAnsi="Arial"/>
                <w:sz w:val="15"/>
                <w:szCs w:val="15"/>
                <w:b w:val="1"/>
                <w:bCs w:val="1"/>
                <w:color w:val="auto"/>
              </w:rPr>
              <w:t>March 31,</w:t>
            </w:r>
          </w:p>
        </w:tc>
        <w:tc>
          <w:tcPr>
            <w:tcW w:w="4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jc w:val="center"/>
              <w:ind w:right="124"/>
              <w:spacing w:after="0" w:line="136" w:lineRule="exact"/>
              <w:rPr>
                <w:sz w:val="20"/>
                <w:szCs w:val="20"/>
                <w:color w:val="auto"/>
              </w:rPr>
            </w:pPr>
            <w:r>
              <w:rPr>
                <w:rFonts w:ascii="Arial" w:cs="Arial" w:eastAsia="Arial" w:hAnsi="Arial"/>
                <w:sz w:val="15"/>
                <w:szCs w:val="15"/>
                <w:b w:val="1"/>
                <w:bCs w:val="1"/>
                <w:color w:val="auto"/>
              </w:rPr>
              <w:t>December 31,</w:t>
            </w:r>
          </w:p>
        </w:tc>
        <w:tc>
          <w:tcPr>
            <w:tcW w:w="100" w:type="dxa"/>
            <w:vAlign w:val="bottom"/>
            <w:tcBorders>
              <w:top w:val="single" w:sz="8" w:color="auto"/>
            </w:tcBorders>
          </w:tcPr>
          <w:p>
            <w:pPr>
              <w:spacing w:after="0"/>
              <w:rPr>
                <w:sz w:val="11"/>
                <w:szCs w:val="11"/>
                <w:color w:val="auto"/>
              </w:rPr>
            </w:pPr>
          </w:p>
        </w:tc>
        <w:tc>
          <w:tcPr>
            <w:tcW w:w="1740" w:type="dxa"/>
            <w:vAlign w:val="bottom"/>
            <w:tcBorders>
              <w:top w:val="single" w:sz="8" w:color="auto"/>
            </w:tcBorders>
          </w:tcPr>
          <w:p>
            <w:pPr>
              <w:jc w:val="center"/>
              <w:ind w:right="124"/>
              <w:spacing w:after="0" w:line="136" w:lineRule="exact"/>
              <w:rPr>
                <w:sz w:val="20"/>
                <w:szCs w:val="20"/>
                <w:color w:val="auto"/>
              </w:rPr>
            </w:pPr>
            <w:r>
              <w:rPr>
                <w:rFonts w:ascii="Arial" w:cs="Arial" w:eastAsia="Arial" w:hAnsi="Arial"/>
                <w:sz w:val="15"/>
                <w:szCs w:val="15"/>
                <w:b w:val="1"/>
                <w:bCs w:val="1"/>
                <w:color w:val="auto"/>
              </w:rPr>
              <w:t>March 31,</w:t>
            </w:r>
          </w:p>
        </w:tc>
      </w:tr>
      <w:tr>
        <w:trPr>
          <w:trHeight w:val="181"/>
        </w:trPr>
        <w:tc>
          <w:tcPr>
            <w:tcW w:w="5820" w:type="dxa"/>
            <w:vAlign w:val="bottom"/>
          </w:tcPr>
          <w:p>
            <w:pPr>
              <w:spacing w:after="0"/>
              <w:rPr>
                <w:sz w:val="15"/>
                <w:szCs w:val="15"/>
                <w:color w:val="auto"/>
              </w:rPr>
            </w:pPr>
          </w:p>
        </w:tc>
        <w:tc>
          <w:tcPr>
            <w:tcW w:w="128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b w:val="1"/>
                <w:bCs w:val="1"/>
                <w:color w:val="auto"/>
              </w:rPr>
              <w:t>2026</w:t>
            </w:r>
          </w:p>
        </w:tc>
        <w:tc>
          <w:tcPr>
            <w:tcW w:w="4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Borders>
              <w:bottom w:val="single" w:sz="8" w:color="auto"/>
            </w:tcBorders>
          </w:tcPr>
          <w:p>
            <w:pPr>
              <w:jc w:val="right"/>
              <w:ind w:right="704"/>
              <w:spacing w:after="0"/>
              <w:rPr>
                <w:sz w:val="20"/>
                <w:szCs w:val="20"/>
                <w:color w:val="auto"/>
              </w:rPr>
            </w:pPr>
            <w:r>
              <w:rPr>
                <w:rFonts w:ascii="Arial" w:cs="Arial" w:eastAsia="Arial" w:hAnsi="Arial"/>
                <w:sz w:val="15"/>
                <w:szCs w:val="15"/>
                <w:b w:val="1"/>
                <w:bCs w:val="1"/>
                <w:color w:val="auto"/>
              </w:rPr>
              <w:t>2025</w:t>
            </w:r>
          </w:p>
        </w:tc>
        <w:tc>
          <w:tcPr>
            <w:tcW w:w="100" w:type="dxa"/>
            <w:vAlign w:val="bottom"/>
          </w:tcPr>
          <w:p>
            <w:pPr>
              <w:spacing w:after="0"/>
              <w:rPr>
                <w:sz w:val="15"/>
                <w:szCs w:val="15"/>
                <w:color w:val="auto"/>
              </w:rPr>
            </w:pPr>
          </w:p>
        </w:tc>
        <w:tc>
          <w:tcPr>
            <w:tcW w:w="1740" w:type="dxa"/>
            <w:vAlign w:val="bottom"/>
            <w:tcBorders>
              <w:bottom w:val="single" w:sz="8" w:color="auto"/>
            </w:tcBorders>
          </w:tcPr>
          <w:p>
            <w:pPr>
              <w:jc w:val="right"/>
              <w:ind w:right="724"/>
              <w:spacing w:after="0"/>
              <w:rPr>
                <w:sz w:val="20"/>
                <w:szCs w:val="20"/>
                <w:color w:val="auto"/>
              </w:rPr>
            </w:pPr>
            <w:r>
              <w:rPr>
                <w:rFonts w:ascii="Arial" w:cs="Arial" w:eastAsia="Arial" w:hAnsi="Arial"/>
                <w:sz w:val="15"/>
                <w:szCs w:val="15"/>
                <w:b w:val="1"/>
                <w:bCs w:val="1"/>
                <w:color w:val="auto"/>
              </w:rPr>
              <w:t>2025</w:t>
            </w:r>
          </w:p>
        </w:tc>
      </w:tr>
      <w:tr>
        <w:trPr>
          <w:trHeight w:val="155"/>
        </w:trPr>
        <w:tc>
          <w:tcPr>
            <w:tcW w:w="7100" w:type="dxa"/>
            <w:vAlign w:val="bottom"/>
            <w:gridSpan w:val="2"/>
            <w:shd w:val="clear" w:color="auto" w:fill="CCEDFF"/>
          </w:tcPr>
          <w:p>
            <w:pPr>
              <w:spacing w:after="0" w:line="156" w:lineRule="exact"/>
              <w:rPr>
                <w:sz w:val="20"/>
                <w:szCs w:val="20"/>
                <w:color w:val="auto"/>
              </w:rPr>
            </w:pPr>
            <w:r>
              <w:rPr>
                <w:rFonts w:ascii="Arial" w:cs="Arial" w:eastAsia="Arial" w:hAnsi="Arial"/>
                <w:sz w:val="14"/>
                <w:szCs w:val="14"/>
                <w:color w:val="auto"/>
              </w:rPr>
              <w:t xml:space="preserve">ROCE </w:t>
            </w:r>
            <w:r>
              <w:rPr>
                <w:rFonts w:ascii="Arial" w:cs="Arial" w:eastAsia="Arial" w:hAnsi="Arial"/>
                <w:sz w:val="18"/>
                <w:szCs w:val="18"/>
                <w:color w:val="auto"/>
                <w:vertAlign w:val="superscript"/>
              </w:rPr>
              <w:t>(1)</w:t>
            </w:r>
          </w:p>
        </w:tc>
        <w:tc>
          <w:tcPr>
            <w:tcW w:w="460" w:type="dxa"/>
            <w:vAlign w:val="bottom"/>
            <w:shd w:val="clear" w:color="auto" w:fill="CCEDFF"/>
          </w:tcPr>
          <w:p>
            <w:pPr>
              <w:jc w:val="right"/>
              <w:spacing w:after="0" w:line="156" w:lineRule="exact"/>
              <w:rPr>
                <w:sz w:val="20"/>
                <w:szCs w:val="20"/>
                <w:color w:val="auto"/>
              </w:rPr>
            </w:pPr>
            <w:r>
              <w:rPr>
                <w:rFonts w:ascii="Arial" w:cs="Arial" w:eastAsia="Arial" w:hAnsi="Arial"/>
                <w:sz w:val="15"/>
                <w:szCs w:val="15"/>
                <w:color w:val="auto"/>
              </w:rPr>
              <w:t>12%</w:t>
            </w:r>
          </w:p>
        </w:tc>
        <w:tc>
          <w:tcPr>
            <w:tcW w:w="1840" w:type="dxa"/>
            <w:vAlign w:val="bottom"/>
            <w:gridSpan w:val="2"/>
            <w:shd w:val="clear" w:color="auto" w:fill="CCEDFF"/>
          </w:tcPr>
          <w:p>
            <w:pPr>
              <w:jc w:val="right"/>
              <w:spacing w:after="0" w:line="156" w:lineRule="exact"/>
              <w:rPr>
                <w:sz w:val="20"/>
                <w:szCs w:val="20"/>
                <w:color w:val="auto"/>
              </w:rPr>
            </w:pPr>
            <w:r>
              <w:rPr>
                <w:rFonts w:ascii="Arial" w:cs="Arial" w:eastAsia="Arial" w:hAnsi="Arial"/>
                <w:sz w:val="15"/>
                <w:szCs w:val="15"/>
                <w:color w:val="auto"/>
              </w:rPr>
              <w:t>10%</w:t>
            </w:r>
          </w:p>
        </w:tc>
        <w:tc>
          <w:tcPr>
            <w:tcW w:w="1840" w:type="dxa"/>
            <w:vAlign w:val="bottom"/>
            <w:gridSpan w:val="2"/>
            <w:shd w:val="clear" w:color="auto" w:fill="CCEDFF"/>
          </w:tcPr>
          <w:p>
            <w:pPr>
              <w:jc w:val="right"/>
              <w:spacing w:after="0" w:line="156" w:lineRule="exact"/>
              <w:rPr>
                <w:sz w:val="20"/>
                <w:szCs w:val="20"/>
                <w:color w:val="auto"/>
              </w:rPr>
            </w:pPr>
            <w:r>
              <w:rPr>
                <w:rFonts w:ascii="Arial" w:cs="Arial" w:eastAsia="Arial" w:hAnsi="Arial"/>
                <w:sz w:val="15"/>
                <w:szCs w:val="15"/>
                <w:color w:val="auto"/>
              </w:rPr>
              <w:t>12%</w:t>
            </w:r>
          </w:p>
        </w:tc>
      </w:tr>
    </w:tbl>
    <w:p>
      <w:pPr>
        <w:spacing w:after="0" w:line="68" w:lineRule="exact"/>
        <w:rPr>
          <w:sz w:val="20"/>
          <w:szCs w:val="20"/>
          <w:color w:val="auto"/>
        </w:rPr>
      </w:pPr>
    </w:p>
    <w:p>
      <w:pPr>
        <w:ind w:left="180" w:right="220" w:hanging="172"/>
        <w:spacing w:after="0" w:line="225" w:lineRule="auto"/>
        <w:tabs>
          <w:tab w:leader="none" w:pos="148" w:val="left"/>
        </w:tabs>
        <w:numPr>
          <w:ilvl w:val="0"/>
          <w:numId w:val="6"/>
        </w:numPr>
        <w:rPr>
          <w:rFonts w:ascii="Arial" w:cs="Arial" w:eastAsia="Arial" w:hAnsi="Arial"/>
          <w:sz w:val="17"/>
          <w:szCs w:val="17"/>
          <w:color w:val="auto"/>
          <w:vertAlign w:val="superscript"/>
        </w:rPr>
      </w:pPr>
      <w:r>
        <w:rPr>
          <w:rFonts w:ascii="Arial" w:cs="Arial" w:eastAsia="Arial" w:hAnsi="Arial"/>
          <w:sz w:val="13"/>
          <w:szCs w:val="13"/>
          <w:color w:val="auto"/>
        </w:rPr>
        <w:t>Adjusted EBITDA, Adjusted EBITDA Margin, Free Cash Flow and Return on Capital Employed (“ROCE”) are non-GAAP financial measures. See definition of these measures and the reconciliation of GAAP to non-GAAP financial measures in the Supplemental Information tables below.</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Operational &amp; Financial Results</w:t>
      </w:r>
    </w:p>
    <w:p>
      <w:pPr>
        <w:spacing w:after="0" w:line="96"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Kendal Reed, CFO commented, “We made progress against our margin goals in the first quarter, while also benefiting from favorable product mix. Strength in NAM Land and a meaningful increase in activity in Mexico helped offset softer activity in other international markets, which we view as timing-related and consistent with historical variability. We also saw modest operational impact from conflict-related disruptions in the Middle East, which partially offset the strength in NAM Land and Mexico during the quarter. From a capital allocation perspective, we remain focused on balancing organic investment with disciplined M&amp;A. Our M&amp;A pipeline remains robust, including a mix of smaller, bolt-on opportunities like DIS, as well as larger opportunities. We will only execute against this playbook if the opportunity aligns with our ‘big impact, small ticket’ proposition, can generate high gross margins with low capital expenditures, and can be acquired at a reasonable multiple."</w:t>
      </w:r>
    </w:p>
    <w:p>
      <w:pPr>
        <w:spacing w:after="0" w:line="65"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Adam Anderson, CEO, concluded, “We are off to a strong start to 2026. I am particularly excited by the momentum in our subsea business. Not only are our margins improving, but we are also gaining share organically by focusing on customer pain points. In the quarter, we secured two major subsea awards in Asia, each exceeding $20 million in value. We also delivered the first subsea wellhead order under the OneSubsea alliance for a customer in Southeast Asia. In the Middle East, softer first quarter activity was driven primarily by timing-related factors. We remain encouraged by recent commercial progress in the region, including an offshore gas award in the Kingdom of Saudi Arabia, as well as a contract extension for off-bottom liner systems and lower completions technologies. We continue to view the Middle East as an important long-term growth market. We continue to evaluate a number of inorganic growth opportunities but will only execute on these opportunities if they fit our unique value proposition, generate strong free cash flow, and are priced at a reasonable multiple. We look forward to discussing these should we decide to execute on them."</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Balance Sheet, Debt, Cash Flow &amp; Other</w:t>
      </w:r>
    </w:p>
    <w:p>
      <w:pPr>
        <w:spacing w:after="0" w:line="96"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Net cash provided by operating activities was $20 million for the first quarter of 2026, while capital expenditures totaled $6 million (approximately 2.4% of revenue) for the first quarter of 2026.</w:t>
      </w:r>
    </w:p>
    <w:p>
      <w:pPr>
        <w:spacing w:after="0" w:line="47"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color w:val="auto"/>
        </w:rPr>
        <w:t>Innovex generated Free Cash Flow of $14 million during the first quarter of 2026 and ended the quarter with approximately $201 million of cash and cash equivalents and no bank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442595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6" w:name="page7"/>
    <w:bookmarkEnd w:id="6"/>
    <w:p>
      <w:pPr>
        <w:jc w:val="both"/>
        <w:spacing w:after="0" w:line="257"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5420360</wp:posOffset>
            </wp:positionH>
            <wp:positionV relativeFrom="page">
              <wp:posOffset>251460</wp:posOffset>
            </wp:positionV>
            <wp:extent cx="1920240" cy="411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920240" cy="411480"/>
                    </a:xfrm>
                    <a:prstGeom prst="rect">
                      <a:avLst/>
                    </a:prstGeom>
                    <a:noFill/>
                  </pic:spPr>
                </pic:pic>
              </a:graphicData>
            </a:graphic>
          </wp:anchor>
        </w:drawing>
        <w:t>Innovex maintains a strong liquidity position and disciplined balance sheet to preserve flexibility and support high-return capital allocation opportunities. We continue to focus on M&amp;A opportunities with strong quantitative and qualitative characteristics.</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Return on Capital Employed (“ROCE”)</w:t>
      </w:r>
    </w:p>
    <w:p>
      <w:pPr>
        <w:spacing w:after="0" w:line="96"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Innovex’s efficient capital allocation and capital-light business model enable the Company to generate strong returns on our invested capital. Income from operations for the twelve months ended March 31, 2026 was $89 million. Return on Capital Employed (“ROCE”) for the twelve months ended March 31, 2026 was 12%. We remain focused on capital efficiency, which we believe is a key driver of sustainable value creation for our stockholders.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Q2 2026 Guidance</w:t>
      </w:r>
    </w:p>
    <w:p>
      <w:pPr>
        <w:spacing w:after="0" w:line="96" w:lineRule="exact"/>
        <w:rPr>
          <w:sz w:val="20"/>
          <w:szCs w:val="20"/>
          <w:color w:val="auto"/>
        </w:rPr>
      </w:pPr>
    </w:p>
    <w:p>
      <w:pPr>
        <w:jc w:val="both"/>
        <w:ind w:right="20"/>
        <w:spacing w:after="0" w:line="241" w:lineRule="auto"/>
        <w:rPr>
          <w:sz w:val="20"/>
          <w:szCs w:val="20"/>
          <w:color w:val="auto"/>
        </w:rPr>
      </w:pPr>
      <w:r>
        <w:rPr>
          <w:rFonts w:ascii="Arial" w:cs="Arial" w:eastAsia="Arial" w:hAnsi="Arial"/>
          <w:sz w:val="20"/>
          <w:szCs w:val="20"/>
          <w:color w:val="auto"/>
        </w:rPr>
        <w:t>Looking to the second quarter of 2026, Innovex expects to generate $235 - $ 245 million in total revenue and Adjusted EBITDA of $43 - $48 million. Our guidance reflects our expectation for a marginally less favorable product mix in Q2, as well as the potential for sales disruptions and higher costs associated with the ongoing conflict in the Middle East.</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Conference Call Details</w:t>
      </w:r>
    </w:p>
    <w:p>
      <w:pPr>
        <w:spacing w:after="0" w:line="96"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Management will host a conference call and a webcast to discuss the financial results on May 5, 2026, at 9:00 a.m. Eastern Time / 8:00 a.m. Central Time. The call will be open to all interested parties and may include forward-looking statements. To access the call, please dial in approximately ten minutes prior to the start time.</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color w:val="auto"/>
        </w:rPr>
        <w:t>Date / Time: May 5, 2026 - 8:00 a.m. Central Time</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Webcast: https://events.q4inc.com/attendee/364412720</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U.S. Toll-Free Dial-In: (800) 715-9871</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International Dial-In: +1 (646) 307-1963</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Conference ID: 1801745</w:t>
      </w:r>
    </w:p>
    <w:p>
      <w:pPr>
        <w:spacing w:after="0" w:line="9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For those unable to participate in the live call, an audio replay will be available following the call through midnight Wednesday, May 13, 2026. To access the replay, please call (800) 770-2030 or +1 (609) 800-9909 (International) and enter playback ID 1801745 followed by the # key. A replay of the webcast will also be archived shortly after the call and can be accessed on the Company’s website.</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Innovex International, Inc.</w:t>
      </w:r>
    </w:p>
    <w:p>
      <w:pPr>
        <w:spacing w:after="0" w:line="96"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Innovex International, Inc. (NYSE: INVX) is a Houston-based company established in 2024 following the merger of Dril-Quip, Inc. and Innovex Downhole Solutions, Inc.</w:t>
      </w:r>
    </w:p>
    <w:p>
      <w:pPr>
        <w:spacing w:after="0" w:line="47" w:lineRule="exact"/>
        <w:rPr>
          <w:sz w:val="20"/>
          <w:szCs w:val="20"/>
          <w:color w:val="auto"/>
        </w:rPr>
      </w:pPr>
    </w:p>
    <w:p>
      <w:pPr>
        <w:jc w:val="both"/>
        <w:ind w:right="20"/>
        <w:spacing w:after="0" w:line="241" w:lineRule="auto"/>
        <w:rPr>
          <w:sz w:val="20"/>
          <w:szCs w:val="20"/>
          <w:color w:val="auto"/>
        </w:rPr>
      </w:pPr>
      <w:r>
        <w:rPr>
          <w:rFonts w:ascii="Arial" w:cs="Arial" w:eastAsia="Arial" w:hAnsi="Arial"/>
          <w:sz w:val="20"/>
          <w:szCs w:val="20"/>
          <w:color w:val="auto"/>
        </w:rPr>
        <w:t>Innovex’s comprehensive portfolio extends throughout the lifecycle of the well, and innovative product integration ensures seamless transitions from one well phase to the next, driving efficiency, lowering costs, and reducing the rig site service footprint for the customer.</w:t>
      </w:r>
    </w:p>
    <w:p>
      <w:pPr>
        <w:spacing w:after="0" w:line="63" w:lineRule="exact"/>
        <w:rPr>
          <w:sz w:val="20"/>
          <w:szCs w:val="20"/>
          <w:color w:val="auto"/>
        </w:rPr>
      </w:pPr>
    </w:p>
    <w:p>
      <w:pPr>
        <w:jc w:val="both"/>
        <w:spacing w:after="0" w:line="284" w:lineRule="auto"/>
        <w:rPr>
          <w:sz w:val="20"/>
          <w:szCs w:val="20"/>
          <w:color w:val="auto"/>
        </w:rPr>
      </w:pPr>
      <w:r>
        <w:rPr>
          <w:rFonts w:ascii="Arial" w:cs="Arial" w:eastAsia="Arial" w:hAnsi="Arial"/>
          <w:sz w:val="19"/>
          <w:szCs w:val="19"/>
          <w:color w:val="auto"/>
        </w:rPr>
        <w:t>With locations throughout North America, Latin America, Europe, the Middle East, and Asia, no matter where you need us, our team is readily available with technical expertise, conventional and innovative technologies, and ever-present customer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564515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u w:val="single" w:color="auto"/>
          <w:color w:val="auto"/>
        </w:rPr>
        <w:drawing>
          <wp:anchor simplePos="0" relativeHeight="251657728" behindDoc="1" locked="0" layoutInCell="0" allowOverlap="1">
            <wp:simplePos x="0" y="0"/>
            <wp:positionH relativeFrom="page">
              <wp:posOffset>5420360</wp:posOffset>
            </wp:positionH>
            <wp:positionV relativeFrom="page">
              <wp:posOffset>251460</wp:posOffset>
            </wp:positionV>
            <wp:extent cx="1920240" cy="411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920240" cy="411480"/>
                    </a:xfrm>
                    <a:prstGeom prst="rect">
                      <a:avLst/>
                    </a:prstGeom>
                    <a:noFill/>
                  </pic:spPr>
                </pic:pic>
              </a:graphicData>
            </a:graphic>
          </wp:anchor>
        </w:drawing>
        <w:t>Forward-Looking Statements</w:t>
      </w:r>
    </w:p>
    <w:p>
      <w:pPr>
        <w:spacing w:after="0" w:line="96" w:lineRule="exact"/>
        <w:rPr>
          <w:sz w:val="20"/>
          <w:szCs w:val="20"/>
          <w:color w:val="auto"/>
        </w:rPr>
      </w:pPr>
    </w:p>
    <w:p>
      <w:pPr>
        <w:jc w:val="both"/>
        <w:spacing w:after="0" w:line="237" w:lineRule="auto"/>
        <w:rPr>
          <w:sz w:val="20"/>
          <w:szCs w:val="20"/>
          <w:color w:val="auto"/>
        </w:rPr>
      </w:pPr>
      <w:r>
        <w:rPr>
          <w:rFonts w:ascii="Arial" w:cs="Arial" w:eastAsia="Arial" w:hAnsi="Arial"/>
          <w:sz w:val="20"/>
          <w:szCs w:val="20"/>
          <w:i w:val="1"/>
          <w:iCs w:val="1"/>
          <w:color w:val="auto"/>
        </w:rPr>
        <w:t>Certain statements contained in this press release and oral statements made regarding the matters addressed in this release constitute “forward-looking statements” within the meaning of the Private Securities Litigation Reform Act of 1995. These forward-looking statements are subject to risks, uncertainties and other factors, many of which are outside of Innovex’s control, that could cause actual results to differ materially from the results discussed in the forward-looking statements.</w:t>
      </w:r>
    </w:p>
    <w:p>
      <w:pPr>
        <w:spacing w:after="0" w:line="104" w:lineRule="exact"/>
        <w:rPr>
          <w:sz w:val="20"/>
          <w:szCs w:val="20"/>
          <w:color w:val="auto"/>
        </w:rPr>
      </w:pPr>
    </w:p>
    <w:p>
      <w:pPr>
        <w:jc w:val="both"/>
        <w:spacing w:after="0" w:line="227" w:lineRule="auto"/>
        <w:rPr>
          <w:sz w:val="20"/>
          <w:szCs w:val="20"/>
          <w:color w:val="auto"/>
        </w:rPr>
      </w:pPr>
      <w:r>
        <w:rPr>
          <w:rFonts w:ascii="Arial" w:cs="Arial" w:eastAsia="Arial" w:hAnsi="Arial"/>
          <w:sz w:val="20"/>
          <w:szCs w:val="20"/>
          <w:i w:val="1"/>
          <w:iCs w:val="1"/>
          <w:color w:val="auto"/>
        </w:rPr>
        <w:t>Forward-looking statements can be identified by the use of forward-looking terminology including “may,” “believe,” “expect,” “intend,” “anticipate,” “plan,” “should,” “estimate,” “continue,” “potential,” “will,” “hope” or other similar words and include the Company’s expectation of future performance contained herein. These statements discuss future expectations, contain projections of results of operations or of financial condition, or state other “forward-looking” information. You are cautioned not to place undue reliance on any forward-looking statements, which can be affected by assumptions used or by risks or uncertainties. Consequently, no forward-looking statements can be guaranteed. When considering these forward-looking statements, you should keep in mind the risks related to the Company’s merger and acquisition activities, including the ultimate outcome and results of integrating operations, the effects of the Company’s merger and acquisition activities (including the Company’s future financial condition, results of operations, strategy and plans), potential adverse reactions or changes to business relationships resulting from the completion of mergers and acquisitions, expected benefits from mergers and acquisitions and the ability of the Company to realize those benefits, the significant costs required to integrate operations, whether merger or acquisition-related litigation will occur and, if so, the results of any litigation, settlements and investigations, operating hazards, natural disasters, weather-related delays, casualty losses and other matters beyond our control; acts of terrorism, war or political or civil unrest in the United States or elsewhere; loss or corruption of our information or a cyberattack on our computer systems; uncertainties pertaining to the Impulse litigation; the risks related to economic conditions and other factors noted in the Company’s Annual Report on Form 10-K, any Quarterly Reports on Form 10-Q and the other documents that the Company files with the Securities and Exchange Commission. The risk factors and other factors noted therein could cause actual results to differ materially from those contained in any forward-looking statement. Innovex disclaims any duty to update and does not intend to update any forward-looking statements, all of which are expressly qualified by the statements in this section, to reflect events or circumstances after the date of this press release, except as may be required by law.</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Investor Relations Contact</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color w:val="auto"/>
        </w:rPr>
        <w:t>Eric Wells</w:t>
      </w:r>
    </w:p>
    <w:p>
      <w:pPr>
        <w:spacing w:after="0" w:line="229" w:lineRule="auto"/>
        <w:rPr>
          <w:sz w:val="20"/>
          <w:szCs w:val="20"/>
          <w:color w:val="auto"/>
        </w:rPr>
      </w:pPr>
      <w:r>
        <w:rPr>
          <w:rFonts w:ascii="Arial" w:cs="Arial" w:eastAsia="Arial" w:hAnsi="Arial"/>
          <w:sz w:val="20"/>
          <w:szCs w:val="20"/>
          <w:color w:val="auto"/>
        </w:rPr>
        <w:t>Chief of Staff</w:t>
      </w:r>
    </w:p>
    <w:p>
      <w:pPr>
        <w:spacing w:after="0" w:line="226" w:lineRule="auto"/>
        <w:rPr>
          <w:sz w:val="20"/>
          <w:szCs w:val="20"/>
          <w:color w:val="auto"/>
        </w:rPr>
      </w:pPr>
      <w:r>
        <w:rPr>
          <w:rFonts w:ascii="Arial" w:cs="Arial" w:eastAsia="Arial" w:hAnsi="Arial"/>
          <w:sz w:val="20"/>
          <w:szCs w:val="20"/>
          <w:color w:val="auto"/>
        </w:rPr>
        <w:t>investors@innovex-inc.com</w:t>
      </w:r>
    </w:p>
    <w:p>
      <w:pPr>
        <w:spacing w:after="0"/>
        <w:rPr>
          <w:sz w:val="20"/>
          <w:szCs w:val="20"/>
          <w:color w:val="auto"/>
        </w:rPr>
      </w:pPr>
      <w:r>
        <w:rPr>
          <w:rFonts w:ascii="Arial" w:cs="Arial" w:eastAsia="Arial" w:hAnsi="Arial"/>
          <w:sz w:val="20"/>
          <w:szCs w:val="20"/>
          <w:color w:val="auto"/>
        </w:rPr>
        <w:t>(346) 398-0000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598170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6"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5420360</wp:posOffset>
            </wp:positionH>
            <wp:positionV relativeFrom="page">
              <wp:posOffset>251460</wp:posOffset>
            </wp:positionV>
            <wp:extent cx="1920240" cy="4114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920240" cy="411480"/>
                    </a:xfrm>
                    <a:prstGeom prst="rect">
                      <a:avLst/>
                    </a:prstGeom>
                    <a:noFill/>
                  </pic:spPr>
                </pic:pic>
              </a:graphicData>
            </a:graphic>
          </wp:anchor>
        </w:drawing>
        <w:t>Innovex International, Inc.</w:t>
      </w:r>
    </w:p>
    <w:p>
      <w:pPr>
        <w:jc w:val="center"/>
        <w:spacing w:after="0" w:line="231" w:lineRule="auto"/>
        <w:rPr>
          <w:sz w:val="20"/>
          <w:szCs w:val="20"/>
          <w:color w:val="auto"/>
        </w:rPr>
      </w:pPr>
      <w:r>
        <w:rPr>
          <w:rFonts w:ascii="Arial" w:cs="Arial" w:eastAsia="Arial" w:hAnsi="Arial"/>
          <w:sz w:val="20"/>
          <w:szCs w:val="20"/>
          <w:b w:val="1"/>
          <w:bCs w:val="1"/>
          <w:color w:val="auto"/>
        </w:rPr>
        <w:t>Condensed Consolidated Statements of Operations and Comprehensive Income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r>
      <w:tr>
        <w:trPr>
          <w:trHeight w:val="168"/>
        </w:trPr>
        <w:tc>
          <w:tcPr>
            <w:tcW w:w="5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jc w:val="right"/>
              <w:ind w:right="459"/>
              <w:spacing w:after="0" w:line="168" w:lineRule="exact"/>
              <w:rPr>
                <w:sz w:val="20"/>
                <w:szCs w:val="20"/>
                <w:color w:val="auto"/>
              </w:rPr>
            </w:pPr>
            <w:r>
              <w:rPr>
                <w:rFonts w:ascii="Arial" w:cs="Arial" w:eastAsia="Arial" w:hAnsi="Arial"/>
                <w:sz w:val="16"/>
                <w:szCs w:val="16"/>
                <w:b w:val="1"/>
                <w:bCs w:val="1"/>
                <w:color w:val="auto"/>
              </w:rPr>
              <w:t>March 31,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jc w:val="right"/>
              <w:ind w:right="299"/>
              <w:spacing w:after="0" w:line="168" w:lineRule="exact"/>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right"/>
              <w:ind w:right="479"/>
              <w:spacing w:after="0" w:line="168" w:lineRule="exact"/>
              <w:rPr>
                <w:sz w:val="20"/>
                <w:szCs w:val="20"/>
                <w:color w:val="auto"/>
              </w:rPr>
            </w:pPr>
            <w:r>
              <w:rPr>
                <w:rFonts w:ascii="Arial" w:cs="Arial" w:eastAsia="Arial" w:hAnsi="Arial"/>
                <w:sz w:val="16"/>
                <w:szCs w:val="16"/>
                <w:b w:val="1"/>
                <w:bCs w:val="1"/>
                <w:color w:val="auto"/>
              </w:rPr>
              <w:t>March 31,</w:t>
            </w:r>
          </w:p>
        </w:tc>
      </w:tr>
      <w:tr>
        <w:trPr>
          <w:trHeight w:val="203"/>
        </w:trPr>
        <w:tc>
          <w:tcPr>
            <w:tcW w:w="5780" w:type="dxa"/>
            <w:vAlign w:val="bottom"/>
          </w:tcPr>
          <w:p>
            <w:pPr>
              <w:spacing w:after="0"/>
              <w:rPr>
                <w:sz w:val="20"/>
                <w:szCs w:val="20"/>
                <w:color w:val="auto"/>
              </w:rPr>
            </w:pPr>
            <w:r>
              <w:rPr>
                <w:rFonts w:ascii="Arial" w:cs="Arial" w:eastAsia="Arial" w:hAnsi="Arial"/>
                <w:sz w:val="14"/>
                <w:szCs w:val="14"/>
                <w:i w:val="1"/>
                <w:iCs w:val="1"/>
                <w:color w:val="auto"/>
              </w:rPr>
              <w:t>(in thousands, except share and per share amounts)</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2026</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2025</w:t>
            </w:r>
          </w:p>
        </w:tc>
      </w:tr>
      <w:tr>
        <w:trPr>
          <w:trHeight w:val="183"/>
        </w:trPr>
        <w:tc>
          <w:tcPr>
            <w:tcW w:w="5780" w:type="dxa"/>
            <w:vAlign w:val="bottom"/>
            <w:shd w:val="clear" w:color="auto" w:fill="CCEDFF"/>
          </w:tcPr>
          <w:p>
            <w:pPr>
              <w:spacing w:after="0" w:line="183" w:lineRule="exact"/>
              <w:rPr>
                <w:sz w:val="20"/>
                <w:szCs w:val="20"/>
                <w:color w:val="auto"/>
              </w:rPr>
            </w:pPr>
            <w:r>
              <w:rPr>
                <w:rFonts w:ascii="Arial" w:cs="Arial" w:eastAsia="Arial" w:hAnsi="Arial"/>
                <w:sz w:val="16"/>
                <w:szCs w:val="16"/>
                <w:color w:val="auto"/>
              </w:rPr>
              <w:t>Revenues</w:t>
            </w:r>
          </w:p>
        </w:tc>
        <w:tc>
          <w:tcPr>
            <w:tcW w:w="380" w:type="dxa"/>
            <w:vAlign w:val="bottom"/>
            <w:gridSpan w:val="2"/>
            <w:shd w:val="clear" w:color="auto" w:fill="CCEDFF"/>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144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239,031</w:t>
            </w:r>
          </w:p>
        </w:tc>
        <w:tc>
          <w:tcPr>
            <w:tcW w:w="280" w:type="dxa"/>
            <w:vAlign w:val="bottom"/>
            <w:gridSpan w:val="2"/>
            <w:shd w:val="clear" w:color="auto" w:fill="CCEDFF"/>
          </w:tcPr>
          <w:p>
            <w:pPr>
              <w:ind w:left="120"/>
              <w:spacing w:after="0" w:line="183" w:lineRule="exact"/>
              <w:rPr>
                <w:sz w:val="20"/>
                <w:szCs w:val="20"/>
                <w:color w:val="auto"/>
              </w:rPr>
            </w:pPr>
            <w:r>
              <w:rPr>
                <w:rFonts w:ascii="Arial" w:cs="Arial" w:eastAsia="Arial" w:hAnsi="Arial"/>
                <w:sz w:val="16"/>
                <w:szCs w:val="16"/>
                <w:color w:val="auto"/>
              </w:rPr>
              <w:t>$</w:t>
            </w:r>
          </w:p>
        </w:tc>
        <w:tc>
          <w:tcPr>
            <w:tcW w:w="152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273,602</w:t>
            </w:r>
          </w:p>
        </w:tc>
        <w:tc>
          <w:tcPr>
            <w:tcW w:w="380" w:type="dxa"/>
            <w:vAlign w:val="bottom"/>
            <w:gridSpan w:val="2"/>
            <w:shd w:val="clear" w:color="auto" w:fill="CCEDFF"/>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1460" w:type="dxa"/>
            <w:vAlign w:val="bottom"/>
            <w:shd w:val="clear" w:color="auto" w:fill="CCEDFF"/>
          </w:tcPr>
          <w:p>
            <w:pPr>
              <w:jc w:val="right"/>
              <w:ind w:right="59"/>
              <w:spacing w:after="0" w:line="183" w:lineRule="exact"/>
              <w:rPr>
                <w:sz w:val="20"/>
                <w:szCs w:val="20"/>
                <w:color w:val="auto"/>
              </w:rPr>
            </w:pPr>
            <w:r>
              <w:rPr>
                <w:rFonts w:ascii="Arial" w:cs="Arial" w:eastAsia="Arial" w:hAnsi="Arial"/>
                <w:sz w:val="16"/>
                <w:szCs w:val="16"/>
                <w:color w:val="auto"/>
              </w:rPr>
              <w:t>240,415</w:t>
            </w:r>
          </w:p>
        </w:tc>
      </w:tr>
      <w:tr>
        <w:trPr>
          <w:trHeight w:val="189"/>
        </w:trPr>
        <w:tc>
          <w:tcPr>
            <w:tcW w:w="5780" w:type="dxa"/>
            <w:vAlign w:val="bottom"/>
          </w:tcPr>
          <w:p>
            <w:pPr>
              <w:spacing w:after="0"/>
              <w:rPr>
                <w:sz w:val="20"/>
                <w:szCs w:val="20"/>
                <w:color w:val="auto"/>
              </w:rPr>
            </w:pPr>
            <w:r>
              <w:rPr>
                <w:rFonts w:ascii="Arial" w:cs="Arial" w:eastAsia="Arial" w:hAnsi="Arial"/>
                <w:sz w:val="16"/>
                <w:szCs w:val="16"/>
                <w:color w:val="auto"/>
              </w:rPr>
              <w:t>Cost of revenues</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154,522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194,488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163,911</w:t>
            </w:r>
          </w:p>
        </w:tc>
      </w:tr>
      <w:tr>
        <w:trPr>
          <w:trHeight w:val="189"/>
        </w:trPr>
        <w:tc>
          <w:tcPr>
            <w:tcW w:w="5780" w:type="dxa"/>
            <w:vAlign w:val="bottom"/>
            <w:shd w:val="clear" w:color="auto" w:fill="CCEDFF"/>
          </w:tcPr>
          <w:p>
            <w:pPr>
              <w:spacing w:after="0"/>
              <w:rPr>
                <w:sz w:val="20"/>
                <w:szCs w:val="20"/>
                <w:color w:val="auto"/>
              </w:rPr>
            </w:pPr>
            <w:r>
              <w:rPr>
                <w:rFonts w:ascii="Arial" w:cs="Arial" w:eastAsia="Arial" w:hAnsi="Arial"/>
                <w:sz w:val="16"/>
                <w:szCs w:val="16"/>
                <w:color w:val="auto"/>
              </w:rPr>
              <w:t>Selling, general and administrative expenses</w:t>
            </w:r>
          </w:p>
        </w:tc>
        <w:tc>
          <w:tcPr>
            <w:tcW w:w="120" w:type="dxa"/>
            <w:vAlign w:val="bottom"/>
            <w:shd w:val="clear" w:color="auto" w:fill="CCEDFF"/>
          </w:tcPr>
          <w:p>
            <w:pPr>
              <w:spacing w:after="0"/>
              <w:rPr>
                <w:sz w:val="16"/>
                <w:szCs w:val="16"/>
                <w:color w:val="auto"/>
              </w:rPr>
            </w:pPr>
          </w:p>
        </w:tc>
        <w:tc>
          <w:tcPr>
            <w:tcW w:w="260" w:type="dxa"/>
            <w:vAlign w:val="bottom"/>
            <w:shd w:val="clear" w:color="auto" w:fill="CCEDFF"/>
          </w:tcPr>
          <w:p>
            <w:pPr>
              <w:spacing w:after="0"/>
              <w:rPr>
                <w:sz w:val="16"/>
                <w:szCs w:val="16"/>
                <w:color w:val="auto"/>
              </w:rPr>
            </w:pPr>
          </w:p>
        </w:tc>
        <w:tc>
          <w:tcPr>
            <w:tcW w:w="144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41,748</w:t>
            </w:r>
          </w:p>
        </w:tc>
        <w:tc>
          <w:tcPr>
            <w:tcW w:w="120" w:type="dxa"/>
            <w:vAlign w:val="bottom"/>
            <w:shd w:val="clear" w:color="auto" w:fill="CCEDFF"/>
          </w:tcPr>
          <w:p>
            <w:pPr>
              <w:spacing w:after="0"/>
              <w:rPr>
                <w:sz w:val="16"/>
                <w:szCs w:val="16"/>
                <w:color w:val="auto"/>
              </w:rPr>
            </w:pPr>
          </w:p>
        </w:tc>
        <w:tc>
          <w:tcPr>
            <w:tcW w:w="160" w:type="dxa"/>
            <w:vAlign w:val="bottom"/>
            <w:shd w:val="clear" w:color="auto" w:fill="CCEDFF"/>
          </w:tcPr>
          <w:p>
            <w:pPr>
              <w:spacing w:after="0"/>
              <w:rPr>
                <w:sz w:val="16"/>
                <w:szCs w:val="16"/>
                <w:color w:val="auto"/>
              </w:rPr>
            </w:pPr>
          </w:p>
        </w:tc>
        <w:tc>
          <w:tcPr>
            <w:tcW w:w="152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32,035</w:t>
            </w:r>
          </w:p>
        </w:tc>
        <w:tc>
          <w:tcPr>
            <w:tcW w:w="120" w:type="dxa"/>
            <w:vAlign w:val="bottom"/>
            <w:shd w:val="clear" w:color="auto" w:fill="CCEDFF"/>
          </w:tcPr>
          <w:p>
            <w:pPr>
              <w:spacing w:after="0"/>
              <w:rPr>
                <w:sz w:val="16"/>
                <w:szCs w:val="16"/>
                <w:color w:val="auto"/>
              </w:rPr>
            </w:pPr>
          </w:p>
        </w:tc>
        <w:tc>
          <w:tcPr>
            <w:tcW w:w="260" w:type="dxa"/>
            <w:vAlign w:val="bottom"/>
            <w:shd w:val="clear" w:color="auto" w:fill="CCEDFF"/>
          </w:tcPr>
          <w:p>
            <w:pPr>
              <w:spacing w:after="0"/>
              <w:rPr>
                <w:sz w:val="16"/>
                <w:szCs w:val="16"/>
                <w:color w:val="auto"/>
              </w:rPr>
            </w:pPr>
          </w:p>
        </w:tc>
        <w:tc>
          <w:tcPr>
            <w:tcW w:w="1460" w:type="dxa"/>
            <w:vAlign w:val="bottom"/>
            <w:shd w:val="clear" w:color="auto" w:fill="CCEDFF"/>
          </w:tcPr>
          <w:p>
            <w:pPr>
              <w:jc w:val="right"/>
              <w:ind w:right="59"/>
              <w:spacing w:after="0"/>
              <w:rPr>
                <w:sz w:val="20"/>
                <w:szCs w:val="20"/>
                <w:color w:val="auto"/>
              </w:rPr>
            </w:pPr>
            <w:r>
              <w:rPr>
                <w:rFonts w:ascii="Arial" w:cs="Arial" w:eastAsia="Arial" w:hAnsi="Arial"/>
                <w:sz w:val="16"/>
                <w:szCs w:val="16"/>
                <w:color w:val="auto"/>
              </w:rPr>
              <w:t>32,349</w:t>
            </w:r>
          </w:p>
        </w:tc>
      </w:tr>
      <w:tr>
        <w:trPr>
          <w:trHeight w:val="189"/>
        </w:trPr>
        <w:tc>
          <w:tcPr>
            <w:tcW w:w="5780" w:type="dxa"/>
            <w:vAlign w:val="bottom"/>
          </w:tcPr>
          <w:p>
            <w:pPr>
              <w:spacing w:after="0"/>
              <w:rPr>
                <w:sz w:val="20"/>
                <w:szCs w:val="20"/>
                <w:color w:val="auto"/>
              </w:rPr>
            </w:pPr>
            <w:r>
              <w:rPr>
                <w:rFonts w:ascii="Arial" w:cs="Arial" w:eastAsia="Arial" w:hAnsi="Arial"/>
                <w:sz w:val="16"/>
                <w:szCs w:val="16"/>
                <w:color w:val="auto"/>
              </w:rPr>
              <w:t>(Gain) loss on sale of assets</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1,364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148</w:t>
            </w:r>
          </w:p>
        </w:tc>
      </w:tr>
      <w:tr>
        <w:trPr>
          <w:trHeight w:val="189"/>
        </w:trPr>
        <w:tc>
          <w:tcPr>
            <w:tcW w:w="5780" w:type="dxa"/>
            <w:vAlign w:val="bottom"/>
            <w:shd w:val="clear" w:color="auto" w:fill="CCEDFF"/>
          </w:tcPr>
          <w:p>
            <w:pPr>
              <w:spacing w:after="0"/>
              <w:rPr>
                <w:sz w:val="20"/>
                <w:szCs w:val="20"/>
                <w:color w:val="auto"/>
              </w:rPr>
            </w:pPr>
            <w:r>
              <w:rPr>
                <w:rFonts w:ascii="Arial" w:cs="Arial" w:eastAsia="Arial" w:hAnsi="Arial"/>
                <w:sz w:val="16"/>
                <w:szCs w:val="16"/>
                <w:color w:val="auto"/>
              </w:rPr>
              <w:t>Depreciation and amortization</w:t>
            </w:r>
          </w:p>
        </w:tc>
        <w:tc>
          <w:tcPr>
            <w:tcW w:w="120" w:type="dxa"/>
            <w:vAlign w:val="bottom"/>
            <w:shd w:val="clear" w:color="auto" w:fill="CCEDFF"/>
          </w:tcPr>
          <w:p>
            <w:pPr>
              <w:spacing w:after="0"/>
              <w:rPr>
                <w:sz w:val="16"/>
                <w:szCs w:val="16"/>
                <w:color w:val="auto"/>
              </w:rPr>
            </w:pPr>
          </w:p>
        </w:tc>
        <w:tc>
          <w:tcPr>
            <w:tcW w:w="260" w:type="dxa"/>
            <w:vAlign w:val="bottom"/>
            <w:shd w:val="clear" w:color="auto" w:fill="CCEDFF"/>
          </w:tcPr>
          <w:p>
            <w:pPr>
              <w:spacing w:after="0"/>
              <w:rPr>
                <w:sz w:val="16"/>
                <w:szCs w:val="16"/>
                <w:color w:val="auto"/>
              </w:rPr>
            </w:pPr>
          </w:p>
        </w:tc>
        <w:tc>
          <w:tcPr>
            <w:tcW w:w="144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16,222</w:t>
            </w:r>
          </w:p>
        </w:tc>
        <w:tc>
          <w:tcPr>
            <w:tcW w:w="120" w:type="dxa"/>
            <w:vAlign w:val="bottom"/>
            <w:shd w:val="clear" w:color="auto" w:fill="CCEDFF"/>
          </w:tcPr>
          <w:p>
            <w:pPr>
              <w:spacing w:after="0"/>
              <w:rPr>
                <w:sz w:val="16"/>
                <w:szCs w:val="16"/>
                <w:color w:val="auto"/>
              </w:rPr>
            </w:pPr>
          </w:p>
        </w:tc>
        <w:tc>
          <w:tcPr>
            <w:tcW w:w="160" w:type="dxa"/>
            <w:vAlign w:val="bottom"/>
            <w:shd w:val="clear" w:color="auto" w:fill="CCEDFF"/>
          </w:tcPr>
          <w:p>
            <w:pPr>
              <w:spacing w:after="0"/>
              <w:rPr>
                <w:sz w:val="16"/>
                <w:szCs w:val="16"/>
                <w:color w:val="auto"/>
              </w:rPr>
            </w:pPr>
          </w:p>
        </w:tc>
        <w:tc>
          <w:tcPr>
            <w:tcW w:w="152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15,461</w:t>
            </w:r>
          </w:p>
        </w:tc>
        <w:tc>
          <w:tcPr>
            <w:tcW w:w="120" w:type="dxa"/>
            <w:vAlign w:val="bottom"/>
            <w:shd w:val="clear" w:color="auto" w:fill="CCEDFF"/>
          </w:tcPr>
          <w:p>
            <w:pPr>
              <w:spacing w:after="0"/>
              <w:rPr>
                <w:sz w:val="16"/>
                <w:szCs w:val="16"/>
                <w:color w:val="auto"/>
              </w:rPr>
            </w:pPr>
          </w:p>
        </w:tc>
        <w:tc>
          <w:tcPr>
            <w:tcW w:w="260" w:type="dxa"/>
            <w:vAlign w:val="bottom"/>
            <w:shd w:val="clear" w:color="auto" w:fill="CCEDFF"/>
          </w:tcPr>
          <w:p>
            <w:pPr>
              <w:spacing w:after="0"/>
              <w:rPr>
                <w:sz w:val="16"/>
                <w:szCs w:val="16"/>
                <w:color w:val="auto"/>
              </w:rPr>
            </w:pPr>
          </w:p>
        </w:tc>
        <w:tc>
          <w:tcPr>
            <w:tcW w:w="1460" w:type="dxa"/>
            <w:vAlign w:val="bottom"/>
            <w:shd w:val="clear" w:color="auto" w:fill="CCEDFF"/>
          </w:tcPr>
          <w:p>
            <w:pPr>
              <w:jc w:val="right"/>
              <w:ind w:right="59"/>
              <w:spacing w:after="0"/>
              <w:rPr>
                <w:sz w:val="20"/>
                <w:szCs w:val="20"/>
                <w:color w:val="auto"/>
              </w:rPr>
            </w:pPr>
            <w:r>
              <w:rPr>
                <w:rFonts w:ascii="Arial" w:cs="Arial" w:eastAsia="Arial" w:hAnsi="Arial"/>
                <w:sz w:val="16"/>
                <w:szCs w:val="16"/>
                <w:color w:val="auto"/>
              </w:rPr>
              <w:t>14,945</w:t>
            </w:r>
          </w:p>
        </w:tc>
      </w:tr>
      <w:tr>
        <w:trPr>
          <w:trHeight w:val="189"/>
        </w:trPr>
        <w:tc>
          <w:tcPr>
            <w:tcW w:w="5780" w:type="dxa"/>
            <w:vAlign w:val="bottom"/>
          </w:tcPr>
          <w:p>
            <w:pPr>
              <w:spacing w:after="0"/>
              <w:rPr>
                <w:sz w:val="20"/>
                <w:szCs w:val="20"/>
                <w:color w:val="auto"/>
              </w:rPr>
            </w:pPr>
            <w:r>
              <w:rPr>
                <w:rFonts w:ascii="Arial" w:cs="Arial" w:eastAsia="Arial" w:hAnsi="Arial"/>
                <w:sz w:val="16"/>
                <w:szCs w:val="16"/>
                <w:color w:val="auto"/>
              </w:rPr>
              <w:t>Impairment of long-lived assets</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2,924</w:t>
            </w:r>
          </w:p>
        </w:tc>
      </w:tr>
      <w:tr>
        <w:trPr>
          <w:trHeight w:val="189"/>
        </w:trPr>
        <w:tc>
          <w:tcPr>
            <w:tcW w:w="5780" w:type="dxa"/>
            <w:vAlign w:val="bottom"/>
            <w:shd w:val="clear" w:color="auto" w:fill="CCEDFF"/>
          </w:tcPr>
          <w:p>
            <w:pPr>
              <w:spacing w:after="0"/>
              <w:rPr>
                <w:sz w:val="20"/>
                <w:szCs w:val="20"/>
                <w:color w:val="auto"/>
              </w:rPr>
            </w:pPr>
            <w:r>
              <w:rPr>
                <w:rFonts w:ascii="Arial" w:cs="Arial" w:eastAsia="Arial" w:hAnsi="Arial"/>
                <w:sz w:val="16"/>
                <w:szCs w:val="16"/>
                <w:color w:val="auto"/>
              </w:rPr>
              <w:t>Acquisition and integration costs</w:t>
            </w:r>
          </w:p>
        </w:tc>
        <w:tc>
          <w:tcPr>
            <w:tcW w:w="120" w:type="dxa"/>
            <w:vAlign w:val="bottom"/>
            <w:shd w:val="clear" w:color="auto" w:fill="CCEDFF"/>
          </w:tcPr>
          <w:p>
            <w:pPr>
              <w:spacing w:after="0"/>
              <w:rPr>
                <w:sz w:val="16"/>
                <w:szCs w:val="16"/>
                <w:color w:val="auto"/>
              </w:rPr>
            </w:pPr>
          </w:p>
        </w:tc>
        <w:tc>
          <w:tcPr>
            <w:tcW w:w="260" w:type="dxa"/>
            <w:vAlign w:val="bottom"/>
            <w:shd w:val="clear" w:color="auto" w:fill="CCEDFF"/>
          </w:tcPr>
          <w:p>
            <w:pPr>
              <w:spacing w:after="0"/>
              <w:rPr>
                <w:sz w:val="16"/>
                <w:szCs w:val="16"/>
                <w:color w:val="auto"/>
              </w:rPr>
            </w:pPr>
          </w:p>
        </w:tc>
        <w:tc>
          <w:tcPr>
            <w:tcW w:w="144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1,588</w:t>
            </w:r>
          </w:p>
        </w:tc>
        <w:tc>
          <w:tcPr>
            <w:tcW w:w="120" w:type="dxa"/>
            <w:vAlign w:val="bottom"/>
            <w:shd w:val="clear" w:color="auto" w:fill="CCEDFF"/>
          </w:tcPr>
          <w:p>
            <w:pPr>
              <w:spacing w:after="0"/>
              <w:rPr>
                <w:sz w:val="16"/>
                <w:szCs w:val="16"/>
                <w:color w:val="auto"/>
              </w:rPr>
            </w:pPr>
          </w:p>
        </w:tc>
        <w:tc>
          <w:tcPr>
            <w:tcW w:w="160" w:type="dxa"/>
            <w:vAlign w:val="bottom"/>
            <w:shd w:val="clear" w:color="auto" w:fill="CCEDFF"/>
          </w:tcPr>
          <w:p>
            <w:pPr>
              <w:spacing w:after="0"/>
              <w:rPr>
                <w:sz w:val="16"/>
                <w:szCs w:val="16"/>
                <w:color w:val="auto"/>
              </w:rPr>
            </w:pPr>
          </w:p>
        </w:tc>
        <w:tc>
          <w:tcPr>
            <w:tcW w:w="152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4,458</w:t>
            </w:r>
          </w:p>
        </w:tc>
        <w:tc>
          <w:tcPr>
            <w:tcW w:w="120" w:type="dxa"/>
            <w:vAlign w:val="bottom"/>
            <w:shd w:val="clear" w:color="auto" w:fill="CCEDFF"/>
          </w:tcPr>
          <w:p>
            <w:pPr>
              <w:spacing w:after="0"/>
              <w:rPr>
                <w:sz w:val="16"/>
                <w:szCs w:val="16"/>
                <w:color w:val="auto"/>
              </w:rPr>
            </w:pPr>
          </w:p>
        </w:tc>
        <w:tc>
          <w:tcPr>
            <w:tcW w:w="260" w:type="dxa"/>
            <w:vAlign w:val="bottom"/>
            <w:shd w:val="clear" w:color="auto" w:fill="CCEDFF"/>
          </w:tcPr>
          <w:p>
            <w:pPr>
              <w:spacing w:after="0"/>
              <w:rPr>
                <w:sz w:val="16"/>
                <w:szCs w:val="16"/>
                <w:color w:val="auto"/>
              </w:rPr>
            </w:pPr>
          </w:p>
        </w:tc>
        <w:tc>
          <w:tcPr>
            <w:tcW w:w="1460" w:type="dxa"/>
            <w:vAlign w:val="bottom"/>
            <w:shd w:val="clear" w:color="auto" w:fill="CCEDFF"/>
          </w:tcPr>
          <w:p>
            <w:pPr>
              <w:jc w:val="right"/>
              <w:ind w:right="59"/>
              <w:spacing w:after="0"/>
              <w:rPr>
                <w:sz w:val="20"/>
                <w:szCs w:val="20"/>
                <w:color w:val="auto"/>
              </w:rPr>
            </w:pPr>
            <w:r>
              <w:rPr>
                <w:rFonts w:ascii="Arial" w:cs="Arial" w:eastAsia="Arial" w:hAnsi="Arial"/>
                <w:sz w:val="16"/>
                <w:szCs w:val="16"/>
                <w:color w:val="auto"/>
              </w:rPr>
              <w:t>4,288</w:t>
            </w:r>
          </w:p>
        </w:tc>
      </w:tr>
      <w:tr>
        <w:trPr>
          <w:trHeight w:val="189"/>
        </w:trPr>
        <w:tc>
          <w:tcPr>
            <w:tcW w:w="57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Provision for legal settlement</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48,803</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r>
      <w:tr>
        <w:trPr>
          <w:trHeight w:val="183"/>
        </w:trPr>
        <w:tc>
          <w:tcPr>
            <w:tcW w:w="5780" w:type="dxa"/>
            <w:vAlign w:val="bottom"/>
            <w:shd w:val="clear" w:color="auto" w:fill="CCEDFF"/>
          </w:tcPr>
          <w:p>
            <w:pPr>
              <w:ind w:left="120"/>
              <w:spacing w:after="0" w:line="183" w:lineRule="exact"/>
              <w:rPr>
                <w:sz w:val="20"/>
                <w:szCs w:val="20"/>
                <w:color w:val="auto"/>
              </w:rPr>
            </w:pPr>
            <w:r>
              <w:rPr>
                <w:rFonts w:ascii="Arial" w:cs="Arial" w:eastAsia="Arial" w:hAnsi="Arial"/>
                <w:sz w:val="16"/>
                <w:szCs w:val="16"/>
                <w:color w:val="auto"/>
              </w:rPr>
              <w:t>Income (loss) from operations</w:t>
            </w:r>
          </w:p>
        </w:tc>
        <w:tc>
          <w:tcPr>
            <w:tcW w:w="380" w:type="dxa"/>
            <w:vAlign w:val="bottom"/>
            <w:gridSpan w:val="2"/>
            <w:shd w:val="clear" w:color="auto" w:fill="CCEDFF"/>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1440" w:type="dxa"/>
            <w:vAlign w:val="bottom"/>
            <w:shd w:val="clear" w:color="auto" w:fill="CCEDFF"/>
          </w:tcPr>
          <w:p>
            <w:pPr>
              <w:jc w:val="right"/>
              <w:spacing w:after="0" w:line="183" w:lineRule="exact"/>
              <w:rPr>
                <w:sz w:val="20"/>
                <w:szCs w:val="20"/>
                <w:color w:val="auto"/>
              </w:rPr>
            </w:pPr>
            <w:r>
              <w:rPr>
                <w:rFonts w:ascii="Arial" w:cs="Arial" w:eastAsia="Arial" w:hAnsi="Arial"/>
                <w:sz w:val="16"/>
                <w:szCs w:val="16"/>
                <w:color w:val="auto"/>
              </w:rPr>
              <w:t>(21,832)</w:t>
            </w:r>
          </w:p>
        </w:tc>
        <w:tc>
          <w:tcPr>
            <w:tcW w:w="280" w:type="dxa"/>
            <w:vAlign w:val="bottom"/>
            <w:gridSpan w:val="2"/>
            <w:shd w:val="clear" w:color="auto" w:fill="CCEDFF"/>
          </w:tcPr>
          <w:p>
            <w:pPr>
              <w:ind w:left="120"/>
              <w:spacing w:after="0" w:line="183" w:lineRule="exact"/>
              <w:rPr>
                <w:sz w:val="20"/>
                <w:szCs w:val="20"/>
                <w:color w:val="auto"/>
              </w:rPr>
            </w:pPr>
            <w:r>
              <w:rPr>
                <w:rFonts w:ascii="Arial" w:cs="Arial" w:eastAsia="Arial" w:hAnsi="Arial"/>
                <w:sz w:val="16"/>
                <w:szCs w:val="16"/>
                <w:color w:val="auto"/>
              </w:rPr>
              <w:t>$</w:t>
            </w:r>
          </w:p>
        </w:tc>
        <w:tc>
          <w:tcPr>
            <w:tcW w:w="152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25,796</w:t>
            </w:r>
          </w:p>
        </w:tc>
        <w:tc>
          <w:tcPr>
            <w:tcW w:w="380" w:type="dxa"/>
            <w:vAlign w:val="bottom"/>
            <w:gridSpan w:val="2"/>
            <w:shd w:val="clear" w:color="auto" w:fill="CCEDFF"/>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1460" w:type="dxa"/>
            <w:vAlign w:val="bottom"/>
            <w:shd w:val="clear" w:color="auto" w:fill="CCEDFF"/>
          </w:tcPr>
          <w:p>
            <w:pPr>
              <w:jc w:val="right"/>
              <w:ind w:right="59"/>
              <w:spacing w:after="0" w:line="183" w:lineRule="exact"/>
              <w:rPr>
                <w:sz w:val="20"/>
                <w:szCs w:val="20"/>
                <w:color w:val="auto"/>
              </w:rPr>
            </w:pPr>
            <w:r>
              <w:rPr>
                <w:rFonts w:ascii="Arial" w:cs="Arial" w:eastAsia="Arial" w:hAnsi="Arial"/>
                <w:sz w:val="16"/>
                <w:szCs w:val="16"/>
                <w:color w:val="auto"/>
              </w:rPr>
              <w:t>21,850</w:t>
            </w:r>
          </w:p>
        </w:tc>
      </w:tr>
      <w:tr>
        <w:trPr>
          <w:trHeight w:val="189"/>
        </w:trPr>
        <w:tc>
          <w:tcPr>
            <w:tcW w:w="5780" w:type="dxa"/>
            <w:vAlign w:val="bottom"/>
          </w:tcPr>
          <w:p>
            <w:pPr>
              <w:spacing w:after="0"/>
              <w:rPr>
                <w:sz w:val="20"/>
                <w:szCs w:val="20"/>
                <w:color w:val="auto"/>
              </w:rPr>
            </w:pPr>
            <w:r>
              <w:rPr>
                <w:rFonts w:ascii="Arial" w:cs="Arial" w:eastAsia="Arial" w:hAnsi="Arial"/>
                <w:sz w:val="16"/>
                <w:szCs w:val="16"/>
                <w:color w:val="auto"/>
              </w:rPr>
              <w:t>Interest (income) expense, net</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(388)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654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700</w:t>
            </w:r>
          </w:p>
        </w:tc>
      </w:tr>
      <w:tr>
        <w:trPr>
          <w:trHeight w:val="189"/>
        </w:trPr>
        <w:tc>
          <w:tcPr>
            <w:tcW w:w="5780" w:type="dxa"/>
            <w:vAlign w:val="bottom"/>
            <w:tcBorders>
              <w:bottom w:val="single" w:sz="8" w:color="auto"/>
            </w:tcBorders>
            <w:shd w:val="clear" w:color="auto" w:fill="CCEDFF"/>
          </w:tcPr>
          <w:p>
            <w:pPr>
              <w:spacing w:after="0"/>
              <w:rPr>
                <w:sz w:val="20"/>
                <w:szCs w:val="20"/>
                <w:color w:val="auto"/>
              </w:rPr>
            </w:pPr>
            <w:r>
              <w:rPr>
                <w:rFonts w:ascii="Arial" w:cs="Arial" w:eastAsia="Arial" w:hAnsi="Arial"/>
                <w:sz w:val="16"/>
                <w:szCs w:val="16"/>
                <w:color w:val="auto"/>
              </w:rPr>
              <w:t>Other (income) expense, net</w:t>
            </w:r>
          </w:p>
        </w:tc>
        <w:tc>
          <w:tcPr>
            <w:tcW w:w="120" w:type="dxa"/>
            <w:vAlign w:val="bottom"/>
            <w:shd w:val="clear" w:color="auto" w:fill="CCEDFF"/>
          </w:tcPr>
          <w:p>
            <w:pPr>
              <w:spacing w:after="0"/>
              <w:rPr>
                <w:sz w:val="16"/>
                <w:szCs w:val="16"/>
                <w:color w:val="auto"/>
              </w:rPr>
            </w:pPr>
          </w:p>
        </w:tc>
        <w:tc>
          <w:tcPr>
            <w:tcW w:w="260" w:type="dxa"/>
            <w:vAlign w:val="bottom"/>
            <w:tcBorders>
              <w:bottom w:val="single" w:sz="8" w:color="auto"/>
            </w:tcBorders>
            <w:shd w:val="clear" w:color="auto" w:fill="CCEDFF"/>
          </w:tcPr>
          <w:p>
            <w:pPr>
              <w:spacing w:after="0"/>
              <w:rPr>
                <w:sz w:val="16"/>
                <w:szCs w:val="16"/>
                <w:color w:val="auto"/>
              </w:rPr>
            </w:pPr>
          </w:p>
        </w:tc>
        <w:tc>
          <w:tcPr>
            <w:tcW w:w="144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150</w:t>
            </w:r>
          </w:p>
        </w:tc>
        <w:tc>
          <w:tcPr>
            <w:tcW w:w="120" w:type="dxa"/>
            <w:vAlign w:val="bottom"/>
            <w:shd w:val="clear" w:color="auto" w:fill="CCEDFF"/>
          </w:tcPr>
          <w:p>
            <w:pPr>
              <w:spacing w:after="0"/>
              <w:rPr>
                <w:sz w:val="16"/>
                <w:szCs w:val="16"/>
                <w:color w:val="auto"/>
              </w:rPr>
            </w:pPr>
          </w:p>
        </w:tc>
        <w:tc>
          <w:tcPr>
            <w:tcW w:w="160" w:type="dxa"/>
            <w:vAlign w:val="bottom"/>
            <w:tcBorders>
              <w:bottom w:val="single" w:sz="8" w:color="auto"/>
            </w:tcBorders>
            <w:shd w:val="clear" w:color="auto" w:fill="CCEDFF"/>
          </w:tcPr>
          <w:p>
            <w:pPr>
              <w:spacing w:after="0"/>
              <w:rPr>
                <w:sz w:val="16"/>
                <w:szCs w:val="16"/>
                <w:color w:val="auto"/>
              </w:rPr>
            </w:pPr>
          </w:p>
        </w:tc>
        <w:tc>
          <w:tcPr>
            <w:tcW w:w="152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6"/>
                <w:szCs w:val="16"/>
                <w:color w:val="auto"/>
              </w:rPr>
              <w:t>(1,825)</w:t>
            </w:r>
          </w:p>
        </w:tc>
        <w:tc>
          <w:tcPr>
            <w:tcW w:w="120" w:type="dxa"/>
            <w:vAlign w:val="bottom"/>
            <w:shd w:val="clear" w:color="auto" w:fill="CCEDFF"/>
          </w:tcPr>
          <w:p>
            <w:pPr>
              <w:spacing w:after="0"/>
              <w:rPr>
                <w:sz w:val="16"/>
                <w:szCs w:val="16"/>
                <w:color w:val="auto"/>
              </w:rPr>
            </w:pPr>
          </w:p>
        </w:tc>
        <w:tc>
          <w:tcPr>
            <w:tcW w:w="260" w:type="dxa"/>
            <w:vAlign w:val="bottom"/>
            <w:tcBorders>
              <w:bottom w:val="single" w:sz="8" w:color="auto"/>
            </w:tcBorders>
            <w:shd w:val="clear" w:color="auto" w:fill="CCEDFF"/>
          </w:tcPr>
          <w:p>
            <w:pPr>
              <w:spacing w:after="0"/>
              <w:rPr>
                <w:sz w:val="16"/>
                <w:szCs w:val="16"/>
                <w:color w:val="auto"/>
              </w:rPr>
            </w:pPr>
          </w:p>
        </w:tc>
        <w:tc>
          <w:tcPr>
            <w:tcW w:w="146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6"/>
                <w:szCs w:val="16"/>
                <w:color w:val="auto"/>
              </w:rPr>
              <w:t>(214)</w:t>
            </w:r>
          </w:p>
        </w:tc>
      </w:tr>
      <w:tr>
        <w:trPr>
          <w:trHeight w:val="183"/>
        </w:trPr>
        <w:tc>
          <w:tcPr>
            <w:tcW w:w="5780" w:type="dxa"/>
            <w:vAlign w:val="bottom"/>
          </w:tcPr>
          <w:p>
            <w:pPr>
              <w:ind w:left="120"/>
              <w:spacing w:after="0" w:line="183" w:lineRule="exact"/>
              <w:rPr>
                <w:sz w:val="20"/>
                <w:szCs w:val="20"/>
                <w:color w:val="auto"/>
              </w:rPr>
            </w:pPr>
            <w:r>
              <w:rPr>
                <w:rFonts w:ascii="Arial" w:cs="Arial" w:eastAsia="Arial" w:hAnsi="Arial"/>
                <w:sz w:val="16"/>
                <w:szCs w:val="16"/>
                <w:color w:val="auto"/>
              </w:rPr>
              <w:t>Income (loss) before income taxes</w:t>
            </w:r>
          </w:p>
        </w:tc>
        <w:tc>
          <w:tcPr>
            <w:tcW w:w="120" w:type="dxa"/>
            <w:vAlign w:val="bottom"/>
          </w:tcPr>
          <w:p>
            <w:pPr>
              <w:spacing w:after="0"/>
              <w:rPr>
                <w:sz w:val="15"/>
                <w:szCs w:val="15"/>
                <w:color w:val="auto"/>
              </w:rPr>
            </w:pPr>
          </w:p>
        </w:tc>
        <w:tc>
          <w:tcPr>
            <w:tcW w:w="260" w:type="dxa"/>
            <w:vAlign w:val="bottom"/>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line="183" w:lineRule="exact"/>
              <w:rPr>
                <w:sz w:val="20"/>
                <w:szCs w:val="20"/>
                <w:color w:val="auto"/>
              </w:rPr>
            </w:pPr>
            <w:r>
              <w:rPr>
                <w:rFonts w:ascii="Arial" w:cs="Arial" w:eastAsia="Arial" w:hAnsi="Arial"/>
                <w:sz w:val="16"/>
                <w:szCs w:val="16"/>
                <w:color w:val="auto"/>
              </w:rPr>
              <w:t>(21,594)</w:t>
            </w:r>
          </w:p>
        </w:tc>
        <w:tc>
          <w:tcPr>
            <w:tcW w:w="120" w:type="dxa"/>
            <w:vAlign w:val="bottom"/>
          </w:tcPr>
          <w:p>
            <w:pPr>
              <w:spacing w:after="0"/>
              <w:rPr>
                <w:sz w:val="15"/>
                <w:szCs w:val="15"/>
                <w:color w:val="auto"/>
              </w:rPr>
            </w:pPr>
          </w:p>
        </w:tc>
        <w:tc>
          <w:tcPr>
            <w:tcW w:w="16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1520" w:type="dxa"/>
            <w:vAlign w:val="bottom"/>
          </w:tcPr>
          <w:p>
            <w:pPr>
              <w:jc w:val="right"/>
              <w:ind w:right="39"/>
              <w:spacing w:after="0" w:line="183" w:lineRule="exact"/>
              <w:rPr>
                <w:sz w:val="20"/>
                <w:szCs w:val="20"/>
                <w:color w:val="auto"/>
              </w:rPr>
            </w:pPr>
            <w:r>
              <w:rPr>
                <w:rFonts w:ascii="Arial" w:cs="Arial" w:eastAsia="Arial" w:hAnsi="Arial"/>
                <w:sz w:val="16"/>
                <w:szCs w:val="16"/>
                <w:color w:val="auto"/>
              </w:rPr>
              <w:t>26,967</w:t>
            </w:r>
          </w:p>
        </w:tc>
        <w:tc>
          <w:tcPr>
            <w:tcW w:w="120" w:type="dxa"/>
            <w:vAlign w:val="bottom"/>
          </w:tcPr>
          <w:p>
            <w:pPr>
              <w:spacing w:after="0"/>
              <w:rPr>
                <w:sz w:val="15"/>
                <w:szCs w:val="15"/>
                <w:color w:val="auto"/>
              </w:rPr>
            </w:pPr>
          </w:p>
        </w:tc>
        <w:tc>
          <w:tcPr>
            <w:tcW w:w="260" w:type="dxa"/>
            <w:vAlign w:val="bottom"/>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1460" w:type="dxa"/>
            <w:vAlign w:val="bottom"/>
          </w:tcPr>
          <w:p>
            <w:pPr>
              <w:jc w:val="right"/>
              <w:ind w:right="59"/>
              <w:spacing w:after="0" w:line="183" w:lineRule="exact"/>
              <w:rPr>
                <w:sz w:val="20"/>
                <w:szCs w:val="20"/>
                <w:color w:val="auto"/>
              </w:rPr>
            </w:pPr>
            <w:r>
              <w:rPr>
                <w:rFonts w:ascii="Arial" w:cs="Arial" w:eastAsia="Arial" w:hAnsi="Arial"/>
                <w:sz w:val="16"/>
                <w:szCs w:val="16"/>
                <w:color w:val="auto"/>
              </w:rPr>
              <w:t>21,364</w:t>
            </w:r>
          </w:p>
        </w:tc>
      </w:tr>
      <w:tr>
        <w:trPr>
          <w:trHeight w:val="189"/>
        </w:trPr>
        <w:tc>
          <w:tcPr>
            <w:tcW w:w="5780" w:type="dxa"/>
            <w:vAlign w:val="bottom"/>
            <w:tcBorders>
              <w:bottom w:val="single" w:sz="8" w:color="auto"/>
            </w:tcBorders>
            <w:shd w:val="clear" w:color="auto" w:fill="CCEDFF"/>
          </w:tcPr>
          <w:p>
            <w:pPr>
              <w:spacing w:after="0"/>
              <w:rPr>
                <w:sz w:val="20"/>
                <w:szCs w:val="20"/>
                <w:color w:val="auto"/>
              </w:rPr>
            </w:pPr>
            <w:r>
              <w:rPr>
                <w:rFonts w:ascii="Arial" w:cs="Arial" w:eastAsia="Arial" w:hAnsi="Arial"/>
                <w:sz w:val="16"/>
                <w:szCs w:val="16"/>
                <w:color w:val="auto"/>
              </w:rPr>
              <w:t>Income tax expense (benefit), net</w:t>
            </w:r>
          </w:p>
        </w:tc>
        <w:tc>
          <w:tcPr>
            <w:tcW w:w="120" w:type="dxa"/>
            <w:vAlign w:val="bottom"/>
            <w:tcBorders>
              <w:bottom w:val="single" w:sz="8" w:color="CCEDFF"/>
            </w:tcBorders>
            <w:shd w:val="clear" w:color="auto" w:fill="CCEDFF"/>
          </w:tcPr>
          <w:p>
            <w:pPr>
              <w:spacing w:after="0"/>
              <w:rPr>
                <w:sz w:val="16"/>
                <w:szCs w:val="16"/>
                <w:color w:val="auto"/>
              </w:rPr>
            </w:pPr>
          </w:p>
        </w:tc>
        <w:tc>
          <w:tcPr>
            <w:tcW w:w="260" w:type="dxa"/>
            <w:vAlign w:val="bottom"/>
            <w:tcBorders>
              <w:bottom w:val="single" w:sz="8" w:color="auto"/>
            </w:tcBorders>
            <w:shd w:val="clear" w:color="auto" w:fill="CCEDFF"/>
          </w:tcPr>
          <w:p>
            <w:pPr>
              <w:spacing w:after="0"/>
              <w:rPr>
                <w:sz w:val="16"/>
                <w:szCs w:val="16"/>
                <w:color w:val="auto"/>
              </w:rPr>
            </w:pPr>
          </w:p>
        </w:tc>
        <w:tc>
          <w:tcPr>
            <w:tcW w:w="144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6"/>
                <w:szCs w:val="16"/>
                <w:color w:val="auto"/>
              </w:rPr>
              <w:t>(4,923)</w:t>
            </w:r>
          </w:p>
        </w:tc>
        <w:tc>
          <w:tcPr>
            <w:tcW w:w="120" w:type="dxa"/>
            <w:vAlign w:val="bottom"/>
            <w:tcBorders>
              <w:bottom w:val="single" w:sz="8" w:color="CCEDFF"/>
            </w:tcBorders>
            <w:shd w:val="clear" w:color="auto" w:fill="CCEDFF"/>
          </w:tcPr>
          <w:p>
            <w:pPr>
              <w:spacing w:after="0"/>
              <w:rPr>
                <w:sz w:val="16"/>
                <w:szCs w:val="16"/>
                <w:color w:val="auto"/>
              </w:rPr>
            </w:pPr>
          </w:p>
        </w:tc>
        <w:tc>
          <w:tcPr>
            <w:tcW w:w="160" w:type="dxa"/>
            <w:vAlign w:val="bottom"/>
            <w:tcBorders>
              <w:bottom w:val="single" w:sz="8" w:color="auto"/>
            </w:tcBorders>
            <w:shd w:val="clear" w:color="auto" w:fill="CCEDFF"/>
          </w:tcPr>
          <w:p>
            <w:pPr>
              <w:spacing w:after="0"/>
              <w:rPr>
                <w:sz w:val="16"/>
                <w:szCs w:val="16"/>
                <w:color w:val="auto"/>
              </w:rPr>
            </w:pPr>
          </w:p>
        </w:tc>
        <w:tc>
          <w:tcPr>
            <w:tcW w:w="152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12,999</w:t>
            </w:r>
          </w:p>
        </w:tc>
        <w:tc>
          <w:tcPr>
            <w:tcW w:w="120" w:type="dxa"/>
            <w:vAlign w:val="bottom"/>
            <w:tcBorders>
              <w:bottom w:val="single" w:sz="8" w:color="CCEDFF"/>
            </w:tcBorders>
            <w:shd w:val="clear" w:color="auto" w:fill="CCEDFF"/>
          </w:tcPr>
          <w:p>
            <w:pPr>
              <w:spacing w:after="0"/>
              <w:rPr>
                <w:sz w:val="16"/>
                <w:szCs w:val="16"/>
                <w:color w:val="auto"/>
              </w:rPr>
            </w:pPr>
          </w:p>
        </w:tc>
        <w:tc>
          <w:tcPr>
            <w:tcW w:w="260" w:type="dxa"/>
            <w:vAlign w:val="bottom"/>
            <w:tcBorders>
              <w:bottom w:val="single" w:sz="8" w:color="auto"/>
            </w:tcBorders>
            <w:shd w:val="clear" w:color="auto" w:fill="CCEDFF"/>
          </w:tcPr>
          <w:p>
            <w:pPr>
              <w:spacing w:after="0"/>
              <w:rPr>
                <w:sz w:val="16"/>
                <w:szCs w:val="16"/>
                <w:color w:val="auto"/>
              </w:rPr>
            </w:pPr>
          </w:p>
        </w:tc>
        <w:tc>
          <w:tcPr>
            <w:tcW w:w="1460" w:type="dxa"/>
            <w:vAlign w:val="bottom"/>
            <w:tcBorders>
              <w:bottom w:val="single" w:sz="8" w:color="auto"/>
            </w:tcBorders>
            <w:shd w:val="clear" w:color="auto" w:fill="CCEDFF"/>
          </w:tcPr>
          <w:p>
            <w:pPr>
              <w:jc w:val="right"/>
              <w:ind w:right="59"/>
              <w:spacing w:after="0"/>
              <w:rPr>
                <w:sz w:val="20"/>
                <w:szCs w:val="20"/>
                <w:color w:val="auto"/>
              </w:rPr>
            </w:pPr>
            <w:r>
              <w:rPr>
                <w:rFonts w:ascii="Arial" w:cs="Arial" w:eastAsia="Arial" w:hAnsi="Arial"/>
                <w:sz w:val="16"/>
                <w:szCs w:val="16"/>
                <w:color w:val="auto"/>
              </w:rPr>
              <w:t>6,607</w:t>
            </w:r>
          </w:p>
        </w:tc>
      </w:tr>
      <w:tr>
        <w:trPr>
          <w:trHeight w:val="183"/>
        </w:trPr>
        <w:tc>
          <w:tcPr>
            <w:tcW w:w="5780" w:type="dxa"/>
            <w:vAlign w:val="bottom"/>
          </w:tcPr>
          <w:p>
            <w:pPr>
              <w:spacing w:after="0" w:line="183" w:lineRule="exact"/>
              <w:rPr>
                <w:sz w:val="20"/>
                <w:szCs w:val="20"/>
                <w:color w:val="auto"/>
              </w:rPr>
            </w:pPr>
            <w:r>
              <w:rPr>
                <w:rFonts w:ascii="Arial" w:cs="Arial" w:eastAsia="Arial" w:hAnsi="Arial"/>
                <w:sz w:val="16"/>
                <w:szCs w:val="16"/>
                <w:b w:val="1"/>
                <w:bCs w:val="1"/>
                <w:color w:val="auto"/>
              </w:rPr>
              <w:t>Net income (loss)</w:t>
            </w:r>
          </w:p>
        </w:tc>
        <w:tc>
          <w:tcPr>
            <w:tcW w:w="380" w:type="dxa"/>
            <w:vAlign w:val="bottom"/>
            <w:gridSpan w:val="2"/>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1440" w:type="dxa"/>
            <w:vAlign w:val="bottom"/>
          </w:tcPr>
          <w:p>
            <w:pPr>
              <w:jc w:val="right"/>
              <w:spacing w:after="0" w:line="183" w:lineRule="exact"/>
              <w:rPr>
                <w:sz w:val="20"/>
                <w:szCs w:val="20"/>
                <w:color w:val="auto"/>
              </w:rPr>
            </w:pPr>
            <w:r>
              <w:rPr>
                <w:rFonts w:ascii="Arial" w:cs="Arial" w:eastAsia="Arial" w:hAnsi="Arial"/>
                <w:sz w:val="16"/>
                <w:szCs w:val="16"/>
                <w:color w:val="auto"/>
              </w:rPr>
              <w:t>(16,671)</w:t>
            </w:r>
          </w:p>
        </w:tc>
        <w:tc>
          <w:tcPr>
            <w:tcW w:w="280" w:type="dxa"/>
            <w:vAlign w:val="bottom"/>
            <w:gridSpan w:val="2"/>
          </w:tcPr>
          <w:p>
            <w:pPr>
              <w:ind w:left="120"/>
              <w:spacing w:after="0" w:line="183" w:lineRule="exact"/>
              <w:rPr>
                <w:sz w:val="20"/>
                <w:szCs w:val="20"/>
                <w:color w:val="auto"/>
              </w:rPr>
            </w:pPr>
            <w:r>
              <w:rPr>
                <w:rFonts w:ascii="Arial" w:cs="Arial" w:eastAsia="Arial" w:hAnsi="Arial"/>
                <w:sz w:val="16"/>
                <w:szCs w:val="16"/>
                <w:color w:val="auto"/>
              </w:rPr>
              <w:t>$</w:t>
            </w:r>
          </w:p>
        </w:tc>
        <w:tc>
          <w:tcPr>
            <w:tcW w:w="1520" w:type="dxa"/>
            <w:vAlign w:val="bottom"/>
          </w:tcPr>
          <w:p>
            <w:pPr>
              <w:jc w:val="right"/>
              <w:ind w:right="39"/>
              <w:spacing w:after="0" w:line="183" w:lineRule="exact"/>
              <w:rPr>
                <w:sz w:val="20"/>
                <w:szCs w:val="20"/>
                <w:color w:val="auto"/>
              </w:rPr>
            </w:pPr>
            <w:r>
              <w:rPr>
                <w:rFonts w:ascii="Arial" w:cs="Arial" w:eastAsia="Arial" w:hAnsi="Arial"/>
                <w:sz w:val="16"/>
                <w:szCs w:val="16"/>
                <w:color w:val="auto"/>
              </w:rPr>
              <w:t>13,968</w:t>
            </w:r>
          </w:p>
        </w:tc>
        <w:tc>
          <w:tcPr>
            <w:tcW w:w="380" w:type="dxa"/>
            <w:vAlign w:val="bottom"/>
            <w:gridSpan w:val="2"/>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1460" w:type="dxa"/>
            <w:vAlign w:val="bottom"/>
          </w:tcPr>
          <w:p>
            <w:pPr>
              <w:jc w:val="right"/>
              <w:ind w:right="59"/>
              <w:spacing w:after="0" w:line="183" w:lineRule="exact"/>
              <w:rPr>
                <w:sz w:val="20"/>
                <w:szCs w:val="20"/>
                <w:color w:val="auto"/>
              </w:rPr>
            </w:pPr>
            <w:r>
              <w:rPr>
                <w:rFonts w:ascii="Arial" w:cs="Arial" w:eastAsia="Arial" w:hAnsi="Arial"/>
                <w:sz w:val="16"/>
                <w:szCs w:val="16"/>
                <w:color w:val="auto"/>
              </w:rPr>
              <w:t>14,757</w:t>
            </w:r>
          </w:p>
        </w:tc>
      </w:tr>
      <w:tr>
        <w:trPr>
          <w:trHeight w:val="183"/>
        </w:trPr>
        <w:tc>
          <w:tcPr>
            <w:tcW w:w="5780" w:type="dxa"/>
            <w:vAlign w:val="bottom"/>
            <w:tcBorders>
              <w:top w:val="single" w:sz="8" w:color="auto"/>
            </w:tcBorders>
            <w:shd w:val="clear" w:color="auto" w:fill="CCEDFF"/>
          </w:tcPr>
          <w:p>
            <w:pPr>
              <w:spacing w:after="0"/>
              <w:rPr>
                <w:sz w:val="15"/>
                <w:szCs w:val="15"/>
                <w:color w:val="auto"/>
              </w:rPr>
            </w:pPr>
          </w:p>
        </w:tc>
        <w:tc>
          <w:tcPr>
            <w:tcW w:w="120" w:type="dxa"/>
            <w:vAlign w:val="bottom"/>
            <w:shd w:val="clear" w:color="auto" w:fill="CCEDFF"/>
          </w:tcPr>
          <w:p>
            <w:pPr>
              <w:spacing w:after="0"/>
              <w:rPr>
                <w:sz w:val="15"/>
                <w:szCs w:val="15"/>
                <w:color w:val="auto"/>
              </w:rPr>
            </w:pPr>
          </w:p>
        </w:tc>
        <w:tc>
          <w:tcPr>
            <w:tcW w:w="260" w:type="dxa"/>
            <w:vAlign w:val="bottom"/>
            <w:tcBorders>
              <w:top w:val="single" w:sz="8" w:color="auto"/>
            </w:tcBorders>
            <w:shd w:val="clear" w:color="auto" w:fill="CCEDFF"/>
          </w:tcPr>
          <w:p>
            <w:pPr>
              <w:spacing w:after="0"/>
              <w:rPr>
                <w:sz w:val="15"/>
                <w:szCs w:val="15"/>
                <w:color w:val="auto"/>
              </w:rPr>
            </w:pPr>
          </w:p>
        </w:tc>
        <w:tc>
          <w:tcPr>
            <w:tcW w:w="1440" w:type="dxa"/>
            <w:vAlign w:val="bottom"/>
            <w:tcBorders>
              <w:top w:val="single" w:sz="8" w:color="auto"/>
            </w:tcBorders>
            <w:shd w:val="clear" w:color="auto" w:fill="CCEDFF"/>
          </w:tcPr>
          <w:p>
            <w:pPr>
              <w:spacing w:after="0"/>
              <w:rPr>
                <w:sz w:val="15"/>
                <w:szCs w:val="15"/>
                <w:color w:val="auto"/>
              </w:rPr>
            </w:pPr>
          </w:p>
        </w:tc>
        <w:tc>
          <w:tcPr>
            <w:tcW w:w="120" w:type="dxa"/>
            <w:vAlign w:val="bottom"/>
            <w:shd w:val="clear" w:color="auto" w:fill="CCEDFF"/>
          </w:tcPr>
          <w:p>
            <w:pPr>
              <w:spacing w:after="0"/>
              <w:rPr>
                <w:sz w:val="15"/>
                <w:szCs w:val="15"/>
                <w:color w:val="auto"/>
              </w:rPr>
            </w:pPr>
          </w:p>
        </w:tc>
        <w:tc>
          <w:tcPr>
            <w:tcW w:w="160" w:type="dxa"/>
            <w:vAlign w:val="bottom"/>
            <w:tcBorders>
              <w:top w:val="single" w:sz="8" w:color="auto"/>
            </w:tcBorders>
            <w:shd w:val="clear" w:color="auto" w:fill="CCEDFF"/>
          </w:tcPr>
          <w:p>
            <w:pPr>
              <w:spacing w:after="0"/>
              <w:rPr>
                <w:sz w:val="15"/>
                <w:szCs w:val="15"/>
                <w:color w:val="auto"/>
              </w:rPr>
            </w:pPr>
          </w:p>
        </w:tc>
        <w:tc>
          <w:tcPr>
            <w:tcW w:w="1520" w:type="dxa"/>
            <w:vAlign w:val="bottom"/>
            <w:tcBorders>
              <w:top w:val="single" w:sz="8" w:color="auto"/>
            </w:tcBorders>
            <w:shd w:val="clear" w:color="auto" w:fill="CCEDFF"/>
          </w:tcPr>
          <w:p>
            <w:pPr>
              <w:spacing w:after="0"/>
              <w:rPr>
                <w:sz w:val="15"/>
                <w:szCs w:val="15"/>
                <w:color w:val="auto"/>
              </w:rPr>
            </w:pPr>
          </w:p>
        </w:tc>
        <w:tc>
          <w:tcPr>
            <w:tcW w:w="120" w:type="dxa"/>
            <w:vAlign w:val="bottom"/>
            <w:shd w:val="clear" w:color="auto" w:fill="CCEDFF"/>
          </w:tcPr>
          <w:p>
            <w:pPr>
              <w:spacing w:after="0"/>
              <w:rPr>
                <w:sz w:val="15"/>
                <w:szCs w:val="15"/>
                <w:color w:val="auto"/>
              </w:rPr>
            </w:pPr>
          </w:p>
        </w:tc>
        <w:tc>
          <w:tcPr>
            <w:tcW w:w="260" w:type="dxa"/>
            <w:vAlign w:val="bottom"/>
            <w:tcBorders>
              <w:top w:val="single" w:sz="8" w:color="auto"/>
            </w:tcBorders>
            <w:shd w:val="clear" w:color="auto" w:fill="CCEDFF"/>
          </w:tcPr>
          <w:p>
            <w:pPr>
              <w:spacing w:after="0"/>
              <w:rPr>
                <w:sz w:val="15"/>
                <w:szCs w:val="15"/>
                <w:color w:val="auto"/>
              </w:rPr>
            </w:pPr>
          </w:p>
        </w:tc>
        <w:tc>
          <w:tcPr>
            <w:tcW w:w="1460" w:type="dxa"/>
            <w:vAlign w:val="bottom"/>
            <w:tcBorders>
              <w:top w:val="single" w:sz="8" w:color="auto"/>
            </w:tcBorders>
            <w:shd w:val="clear" w:color="auto" w:fill="CCEDFF"/>
          </w:tcPr>
          <w:p>
            <w:pPr>
              <w:spacing w:after="0"/>
              <w:rPr>
                <w:sz w:val="15"/>
                <w:szCs w:val="15"/>
                <w:color w:val="auto"/>
              </w:rPr>
            </w:pPr>
          </w:p>
        </w:tc>
      </w:tr>
      <w:tr>
        <w:trPr>
          <w:trHeight w:val="189"/>
        </w:trPr>
        <w:tc>
          <w:tcPr>
            <w:tcW w:w="5780" w:type="dxa"/>
            <w:vAlign w:val="bottom"/>
          </w:tcPr>
          <w:p>
            <w:pPr>
              <w:spacing w:after="0"/>
              <w:rPr>
                <w:sz w:val="20"/>
                <w:szCs w:val="20"/>
                <w:color w:val="auto"/>
              </w:rPr>
            </w:pPr>
            <w:r>
              <w:rPr>
                <w:rFonts w:ascii="Arial" w:cs="Arial" w:eastAsia="Arial" w:hAnsi="Arial"/>
                <w:sz w:val="16"/>
                <w:szCs w:val="16"/>
                <w:b w:val="1"/>
                <w:bCs w:val="1"/>
                <w:color w:val="auto"/>
              </w:rPr>
              <w:t>Earnings (loss) per common share</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89"/>
        </w:trPr>
        <w:tc>
          <w:tcPr>
            <w:tcW w:w="5780" w:type="dxa"/>
            <w:vAlign w:val="bottom"/>
            <w:shd w:val="clear" w:color="auto" w:fill="CCEDFF"/>
          </w:tcPr>
          <w:p>
            <w:pPr>
              <w:ind w:left="120"/>
              <w:spacing w:after="0"/>
              <w:rPr>
                <w:sz w:val="20"/>
                <w:szCs w:val="20"/>
                <w:color w:val="auto"/>
              </w:rPr>
            </w:pPr>
            <w:r>
              <w:rPr>
                <w:rFonts w:ascii="Arial" w:cs="Arial" w:eastAsia="Arial" w:hAnsi="Arial"/>
                <w:sz w:val="16"/>
                <w:szCs w:val="16"/>
                <w:color w:val="auto"/>
              </w:rPr>
              <w:t>Basic</w:t>
            </w:r>
          </w:p>
        </w:tc>
        <w:tc>
          <w:tcPr>
            <w:tcW w:w="380" w:type="dxa"/>
            <w:vAlign w:val="bottom"/>
            <w:gridSpan w:val="2"/>
            <w:shd w:val="clear" w:color="auto" w:fill="CCEDFF"/>
          </w:tcPr>
          <w:p>
            <w:pPr>
              <w:jc w:val="right"/>
              <w:ind w:right="7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DFF"/>
          </w:tcPr>
          <w:p>
            <w:pPr>
              <w:jc w:val="right"/>
              <w:spacing w:after="0"/>
              <w:rPr>
                <w:sz w:val="20"/>
                <w:szCs w:val="20"/>
                <w:color w:val="auto"/>
              </w:rPr>
            </w:pPr>
            <w:r>
              <w:rPr>
                <w:rFonts w:ascii="Arial" w:cs="Arial" w:eastAsia="Arial" w:hAnsi="Arial"/>
                <w:sz w:val="16"/>
                <w:szCs w:val="16"/>
                <w:color w:val="auto"/>
              </w:rPr>
              <w:t>(0.24)</w:t>
            </w:r>
          </w:p>
        </w:tc>
        <w:tc>
          <w:tcPr>
            <w:tcW w:w="280" w:type="dxa"/>
            <w:vAlign w:val="bottom"/>
            <w:gridSpan w:val="2"/>
            <w:shd w:val="clear" w:color="auto" w:fill="CCEDFF"/>
          </w:tcPr>
          <w:p>
            <w:pPr>
              <w:ind w:left="12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0.20</w:t>
            </w:r>
          </w:p>
        </w:tc>
        <w:tc>
          <w:tcPr>
            <w:tcW w:w="380" w:type="dxa"/>
            <w:vAlign w:val="bottom"/>
            <w:gridSpan w:val="2"/>
            <w:shd w:val="clear" w:color="auto" w:fill="CCEDFF"/>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DFF"/>
          </w:tcPr>
          <w:p>
            <w:pPr>
              <w:jc w:val="right"/>
              <w:ind w:right="59"/>
              <w:spacing w:after="0"/>
              <w:rPr>
                <w:sz w:val="20"/>
                <w:szCs w:val="20"/>
                <w:color w:val="auto"/>
              </w:rPr>
            </w:pPr>
            <w:r>
              <w:rPr>
                <w:rFonts w:ascii="Arial" w:cs="Arial" w:eastAsia="Arial" w:hAnsi="Arial"/>
                <w:sz w:val="16"/>
                <w:szCs w:val="16"/>
                <w:color w:val="auto"/>
              </w:rPr>
              <w:t>0.21</w:t>
            </w:r>
          </w:p>
        </w:tc>
      </w:tr>
      <w:tr>
        <w:trPr>
          <w:trHeight w:val="189"/>
        </w:trPr>
        <w:tc>
          <w:tcPr>
            <w:tcW w:w="5780" w:type="dxa"/>
            <w:vAlign w:val="bottom"/>
            <w:tcBorders>
              <w:bottom w:val="single" w:sz="8" w:color="7F7F7F"/>
            </w:tcBorders>
          </w:tcPr>
          <w:p>
            <w:pPr>
              <w:ind w:left="120"/>
              <w:spacing w:after="0"/>
              <w:rPr>
                <w:sz w:val="20"/>
                <w:szCs w:val="20"/>
                <w:color w:val="auto"/>
              </w:rPr>
            </w:pPr>
            <w:r>
              <w:rPr>
                <w:rFonts w:ascii="Arial" w:cs="Arial" w:eastAsia="Arial" w:hAnsi="Arial"/>
                <w:sz w:val="16"/>
                <w:szCs w:val="16"/>
                <w:color w:val="auto"/>
              </w:rPr>
              <w:t>Diluted</w:t>
            </w:r>
          </w:p>
        </w:tc>
        <w:tc>
          <w:tcPr>
            <w:tcW w:w="380" w:type="dxa"/>
            <w:vAlign w:val="bottom"/>
            <w:tcBorders>
              <w:bottom w:val="single" w:sz="8" w:color="7F7F7F"/>
            </w:tcBorders>
            <w:gridSpan w:val="2"/>
          </w:tcPr>
          <w:p>
            <w:pPr>
              <w:jc w:val="right"/>
              <w:ind w:right="7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(0.24)</w:t>
            </w:r>
          </w:p>
        </w:tc>
        <w:tc>
          <w:tcPr>
            <w:tcW w:w="280" w:type="dxa"/>
            <w:vAlign w:val="bottom"/>
            <w:tcBorders>
              <w:bottom w:val="single" w:sz="8" w:color="7F7F7F"/>
            </w:tcBorders>
            <w:gridSpan w:val="2"/>
          </w:tcPr>
          <w:p>
            <w:pPr>
              <w:ind w:left="120"/>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7F7F7F"/>
            </w:tcBorders>
          </w:tcPr>
          <w:p>
            <w:pPr>
              <w:jc w:val="right"/>
              <w:ind w:right="39"/>
              <w:spacing w:after="0"/>
              <w:rPr>
                <w:sz w:val="20"/>
                <w:szCs w:val="20"/>
                <w:color w:val="auto"/>
              </w:rPr>
            </w:pPr>
            <w:r>
              <w:rPr>
                <w:rFonts w:ascii="Arial" w:cs="Arial" w:eastAsia="Arial" w:hAnsi="Arial"/>
                <w:sz w:val="16"/>
                <w:szCs w:val="16"/>
                <w:color w:val="auto"/>
              </w:rPr>
              <w:t>0.20</w:t>
            </w:r>
          </w:p>
        </w:tc>
        <w:tc>
          <w:tcPr>
            <w:tcW w:w="380" w:type="dxa"/>
            <w:vAlign w:val="bottom"/>
            <w:tcBorders>
              <w:bottom w:val="single" w:sz="8" w:color="7F7F7F"/>
            </w:tcBorders>
            <w:gridSpan w:val="2"/>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7F7F7F"/>
            </w:tcBorders>
          </w:tcPr>
          <w:p>
            <w:pPr>
              <w:jc w:val="right"/>
              <w:ind w:right="59"/>
              <w:spacing w:after="0"/>
              <w:rPr>
                <w:sz w:val="20"/>
                <w:szCs w:val="20"/>
                <w:color w:val="auto"/>
              </w:rPr>
            </w:pPr>
            <w:r>
              <w:rPr>
                <w:rFonts w:ascii="Arial" w:cs="Arial" w:eastAsia="Arial" w:hAnsi="Arial"/>
                <w:sz w:val="16"/>
                <w:szCs w:val="16"/>
                <w:color w:val="auto"/>
              </w:rPr>
              <w:t>0.21</w:t>
            </w:r>
          </w:p>
        </w:tc>
      </w:tr>
      <w:tr>
        <w:trPr>
          <w:trHeight w:val="183"/>
        </w:trPr>
        <w:tc>
          <w:tcPr>
            <w:tcW w:w="5780" w:type="dxa"/>
            <w:vAlign w:val="bottom"/>
            <w:shd w:val="clear" w:color="auto" w:fill="CCEDFF"/>
          </w:tcPr>
          <w:p>
            <w:pPr>
              <w:spacing w:after="0"/>
              <w:rPr>
                <w:sz w:val="15"/>
                <w:szCs w:val="15"/>
                <w:color w:val="auto"/>
              </w:rPr>
            </w:pPr>
          </w:p>
        </w:tc>
        <w:tc>
          <w:tcPr>
            <w:tcW w:w="120" w:type="dxa"/>
            <w:vAlign w:val="bottom"/>
            <w:shd w:val="clear" w:color="auto" w:fill="CCEDFF"/>
          </w:tcPr>
          <w:p>
            <w:pPr>
              <w:spacing w:after="0"/>
              <w:rPr>
                <w:sz w:val="15"/>
                <w:szCs w:val="15"/>
                <w:color w:val="auto"/>
              </w:rPr>
            </w:pPr>
          </w:p>
        </w:tc>
        <w:tc>
          <w:tcPr>
            <w:tcW w:w="260" w:type="dxa"/>
            <w:vAlign w:val="bottom"/>
            <w:shd w:val="clear" w:color="auto" w:fill="CCEDFF"/>
          </w:tcPr>
          <w:p>
            <w:pPr>
              <w:spacing w:after="0"/>
              <w:rPr>
                <w:sz w:val="15"/>
                <w:szCs w:val="15"/>
                <w:color w:val="auto"/>
              </w:rPr>
            </w:pPr>
          </w:p>
        </w:tc>
        <w:tc>
          <w:tcPr>
            <w:tcW w:w="1440" w:type="dxa"/>
            <w:vAlign w:val="bottom"/>
            <w:shd w:val="clear" w:color="auto" w:fill="CCEDFF"/>
          </w:tcPr>
          <w:p>
            <w:pPr>
              <w:spacing w:after="0"/>
              <w:rPr>
                <w:sz w:val="15"/>
                <w:szCs w:val="15"/>
                <w:color w:val="auto"/>
              </w:rPr>
            </w:pPr>
          </w:p>
        </w:tc>
        <w:tc>
          <w:tcPr>
            <w:tcW w:w="120" w:type="dxa"/>
            <w:vAlign w:val="bottom"/>
            <w:shd w:val="clear" w:color="auto" w:fill="CCEDFF"/>
          </w:tcPr>
          <w:p>
            <w:pPr>
              <w:spacing w:after="0"/>
              <w:rPr>
                <w:sz w:val="15"/>
                <w:szCs w:val="15"/>
                <w:color w:val="auto"/>
              </w:rPr>
            </w:pPr>
          </w:p>
        </w:tc>
        <w:tc>
          <w:tcPr>
            <w:tcW w:w="160" w:type="dxa"/>
            <w:vAlign w:val="bottom"/>
            <w:shd w:val="clear" w:color="auto" w:fill="CCEDFF"/>
          </w:tcPr>
          <w:p>
            <w:pPr>
              <w:spacing w:after="0"/>
              <w:rPr>
                <w:sz w:val="15"/>
                <w:szCs w:val="15"/>
                <w:color w:val="auto"/>
              </w:rPr>
            </w:pPr>
          </w:p>
        </w:tc>
        <w:tc>
          <w:tcPr>
            <w:tcW w:w="1520" w:type="dxa"/>
            <w:vAlign w:val="bottom"/>
            <w:shd w:val="clear" w:color="auto" w:fill="CCEDFF"/>
          </w:tcPr>
          <w:p>
            <w:pPr>
              <w:spacing w:after="0"/>
              <w:rPr>
                <w:sz w:val="15"/>
                <w:szCs w:val="15"/>
                <w:color w:val="auto"/>
              </w:rPr>
            </w:pPr>
          </w:p>
        </w:tc>
        <w:tc>
          <w:tcPr>
            <w:tcW w:w="120" w:type="dxa"/>
            <w:vAlign w:val="bottom"/>
            <w:shd w:val="clear" w:color="auto" w:fill="CCEDFF"/>
          </w:tcPr>
          <w:p>
            <w:pPr>
              <w:spacing w:after="0"/>
              <w:rPr>
                <w:sz w:val="15"/>
                <w:szCs w:val="15"/>
                <w:color w:val="auto"/>
              </w:rPr>
            </w:pPr>
          </w:p>
        </w:tc>
        <w:tc>
          <w:tcPr>
            <w:tcW w:w="260" w:type="dxa"/>
            <w:vAlign w:val="bottom"/>
            <w:shd w:val="clear" w:color="auto" w:fill="CCEDFF"/>
          </w:tcPr>
          <w:p>
            <w:pPr>
              <w:spacing w:after="0"/>
              <w:rPr>
                <w:sz w:val="15"/>
                <w:szCs w:val="15"/>
                <w:color w:val="auto"/>
              </w:rPr>
            </w:pPr>
          </w:p>
        </w:tc>
        <w:tc>
          <w:tcPr>
            <w:tcW w:w="1460" w:type="dxa"/>
            <w:vAlign w:val="bottom"/>
            <w:shd w:val="clear" w:color="auto" w:fill="CCEDFF"/>
          </w:tcPr>
          <w:p>
            <w:pPr>
              <w:spacing w:after="0"/>
              <w:rPr>
                <w:sz w:val="15"/>
                <w:szCs w:val="15"/>
                <w:color w:val="auto"/>
              </w:rPr>
            </w:pPr>
          </w:p>
        </w:tc>
      </w:tr>
      <w:tr>
        <w:trPr>
          <w:trHeight w:val="189"/>
        </w:trPr>
        <w:tc>
          <w:tcPr>
            <w:tcW w:w="5780" w:type="dxa"/>
            <w:vAlign w:val="bottom"/>
          </w:tcPr>
          <w:p>
            <w:pPr>
              <w:spacing w:after="0"/>
              <w:rPr>
                <w:sz w:val="20"/>
                <w:szCs w:val="20"/>
                <w:color w:val="auto"/>
              </w:rPr>
            </w:pPr>
            <w:r>
              <w:rPr>
                <w:rFonts w:ascii="Arial" w:cs="Arial" w:eastAsia="Arial" w:hAnsi="Arial"/>
                <w:sz w:val="16"/>
                <w:szCs w:val="16"/>
                <w:b w:val="1"/>
                <w:bCs w:val="1"/>
                <w:color w:val="auto"/>
              </w:rPr>
              <w:t>Weighted average common shares outstanding</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89"/>
        </w:trPr>
        <w:tc>
          <w:tcPr>
            <w:tcW w:w="5780" w:type="dxa"/>
            <w:vAlign w:val="bottom"/>
            <w:shd w:val="clear" w:color="auto" w:fill="CCEDFF"/>
          </w:tcPr>
          <w:p>
            <w:pPr>
              <w:ind w:left="120"/>
              <w:spacing w:after="0"/>
              <w:rPr>
                <w:sz w:val="20"/>
                <w:szCs w:val="20"/>
                <w:color w:val="auto"/>
              </w:rPr>
            </w:pPr>
            <w:r>
              <w:rPr>
                <w:rFonts w:ascii="Arial" w:cs="Arial" w:eastAsia="Arial" w:hAnsi="Arial"/>
                <w:sz w:val="16"/>
                <w:szCs w:val="16"/>
                <w:color w:val="auto"/>
              </w:rPr>
              <w:t>Basic</w:t>
            </w:r>
          </w:p>
        </w:tc>
        <w:tc>
          <w:tcPr>
            <w:tcW w:w="120" w:type="dxa"/>
            <w:vAlign w:val="bottom"/>
            <w:shd w:val="clear" w:color="auto" w:fill="CCEDFF"/>
          </w:tcPr>
          <w:p>
            <w:pPr>
              <w:spacing w:after="0"/>
              <w:rPr>
                <w:sz w:val="16"/>
                <w:szCs w:val="16"/>
                <w:color w:val="auto"/>
              </w:rPr>
            </w:pPr>
          </w:p>
        </w:tc>
        <w:tc>
          <w:tcPr>
            <w:tcW w:w="260" w:type="dxa"/>
            <w:vAlign w:val="bottom"/>
            <w:shd w:val="clear" w:color="auto" w:fill="CCEDFF"/>
          </w:tcPr>
          <w:p>
            <w:pPr>
              <w:spacing w:after="0"/>
              <w:rPr>
                <w:sz w:val="16"/>
                <w:szCs w:val="16"/>
                <w:color w:val="auto"/>
              </w:rPr>
            </w:pPr>
          </w:p>
        </w:tc>
        <w:tc>
          <w:tcPr>
            <w:tcW w:w="144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68,940,260</w:t>
            </w:r>
          </w:p>
        </w:tc>
        <w:tc>
          <w:tcPr>
            <w:tcW w:w="120" w:type="dxa"/>
            <w:vAlign w:val="bottom"/>
            <w:shd w:val="clear" w:color="auto" w:fill="CCEDFF"/>
          </w:tcPr>
          <w:p>
            <w:pPr>
              <w:spacing w:after="0"/>
              <w:rPr>
                <w:sz w:val="16"/>
                <w:szCs w:val="16"/>
                <w:color w:val="auto"/>
              </w:rPr>
            </w:pPr>
          </w:p>
        </w:tc>
        <w:tc>
          <w:tcPr>
            <w:tcW w:w="160" w:type="dxa"/>
            <w:vAlign w:val="bottom"/>
            <w:shd w:val="clear" w:color="auto" w:fill="CCEDFF"/>
          </w:tcPr>
          <w:p>
            <w:pPr>
              <w:spacing w:after="0"/>
              <w:rPr>
                <w:sz w:val="16"/>
                <w:szCs w:val="16"/>
                <w:color w:val="auto"/>
              </w:rPr>
            </w:pPr>
          </w:p>
        </w:tc>
        <w:tc>
          <w:tcPr>
            <w:tcW w:w="152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68,994,818</w:t>
            </w:r>
          </w:p>
        </w:tc>
        <w:tc>
          <w:tcPr>
            <w:tcW w:w="120" w:type="dxa"/>
            <w:vAlign w:val="bottom"/>
            <w:shd w:val="clear" w:color="auto" w:fill="CCEDFF"/>
          </w:tcPr>
          <w:p>
            <w:pPr>
              <w:spacing w:after="0"/>
              <w:rPr>
                <w:sz w:val="16"/>
                <w:szCs w:val="16"/>
                <w:color w:val="auto"/>
              </w:rPr>
            </w:pPr>
          </w:p>
        </w:tc>
        <w:tc>
          <w:tcPr>
            <w:tcW w:w="260" w:type="dxa"/>
            <w:vAlign w:val="bottom"/>
            <w:shd w:val="clear" w:color="auto" w:fill="CCEDFF"/>
          </w:tcPr>
          <w:p>
            <w:pPr>
              <w:spacing w:after="0"/>
              <w:rPr>
                <w:sz w:val="16"/>
                <w:szCs w:val="16"/>
                <w:color w:val="auto"/>
              </w:rPr>
            </w:pPr>
          </w:p>
        </w:tc>
        <w:tc>
          <w:tcPr>
            <w:tcW w:w="1460" w:type="dxa"/>
            <w:vAlign w:val="bottom"/>
            <w:shd w:val="clear" w:color="auto" w:fill="CCEDFF"/>
          </w:tcPr>
          <w:p>
            <w:pPr>
              <w:jc w:val="right"/>
              <w:ind w:right="59"/>
              <w:spacing w:after="0"/>
              <w:rPr>
                <w:sz w:val="20"/>
                <w:szCs w:val="20"/>
                <w:color w:val="auto"/>
              </w:rPr>
            </w:pPr>
            <w:r>
              <w:rPr>
                <w:rFonts w:ascii="Arial" w:cs="Arial" w:eastAsia="Arial" w:hAnsi="Arial"/>
                <w:sz w:val="16"/>
                <w:szCs w:val="16"/>
                <w:color w:val="auto"/>
              </w:rPr>
              <w:t>69,290,100</w:t>
            </w:r>
          </w:p>
        </w:tc>
      </w:tr>
      <w:tr>
        <w:trPr>
          <w:trHeight w:val="189"/>
        </w:trPr>
        <w:tc>
          <w:tcPr>
            <w:tcW w:w="5780" w:type="dxa"/>
            <w:vAlign w:val="bottom"/>
            <w:tcBorders>
              <w:bottom w:val="single" w:sz="8" w:color="7F7F7F"/>
            </w:tcBorders>
          </w:tcPr>
          <w:p>
            <w:pPr>
              <w:ind w:left="120"/>
              <w:spacing w:after="0"/>
              <w:rPr>
                <w:sz w:val="20"/>
                <w:szCs w:val="20"/>
                <w:color w:val="auto"/>
              </w:rPr>
            </w:pPr>
            <w:r>
              <w:rPr>
                <w:rFonts w:ascii="Arial" w:cs="Arial" w:eastAsia="Arial" w:hAnsi="Arial"/>
                <w:sz w:val="16"/>
                <w:szCs w:val="16"/>
                <w:color w:val="auto"/>
              </w:rPr>
              <w:t>Diluted</w:t>
            </w:r>
          </w:p>
        </w:tc>
        <w:tc>
          <w:tcPr>
            <w:tcW w:w="120" w:type="dxa"/>
            <w:vAlign w:val="bottom"/>
            <w:tcBorders>
              <w:bottom w:val="single" w:sz="8" w:color="7F7F7F"/>
            </w:tcBorders>
          </w:tcPr>
          <w:p>
            <w:pPr>
              <w:spacing w:after="0"/>
              <w:rPr>
                <w:sz w:val="16"/>
                <w:szCs w:val="16"/>
                <w:color w:val="auto"/>
              </w:rPr>
            </w:pPr>
          </w:p>
        </w:tc>
        <w:tc>
          <w:tcPr>
            <w:tcW w:w="260" w:type="dxa"/>
            <w:vAlign w:val="bottom"/>
            <w:tcBorders>
              <w:bottom w:val="single" w:sz="8" w:color="7F7F7F"/>
            </w:tcBorders>
          </w:tcPr>
          <w:p>
            <w:pPr>
              <w:spacing w:after="0"/>
              <w:rPr>
                <w:sz w:val="16"/>
                <w:szCs w:val="16"/>
                <w:color w:val="auto"/>
              </w:rPr>
            </w:pPr>
          </w:p>
        </w:tc>
        <w:tc>
          <w:tcPr>
            <w:tcW w:w="1440" w:type="dxa"/>
            <w:vAlign w:val="bottom"/>
            <w:tcBorders>
              <w:bottom w:val="single" w:sz="8" w:color="7F7F7F"/>
            </w:tcBorders>
          </w:tcPr>
          <w:p>
            <w:pPr>
              <w:jc w:val="right"/>
              <w:ind w:right="39"/>
              <w:spacing w:after="0"/>
              <w:rPr>
                <w:sz w:val="20"/>
                <w:szCs w:val="20"/>
                <w:color w:val="auto"/>
              </w:rPr>
            </w:pPr>
            <w:r>
              <w:rPr>
                <w:rFonts w:ascii="Arial" w:cs="Arial" w:eastAsia="Arial" w:hAnsi="Arial"/>
                <w:sz w:val="16"/>
                <w:szCs w:val="16"/>
                <w:color w:val="auto"/>
              </w:rPr>
              <w:t>68,940,260</w:t>
            </w:r>
          </w:p>
        </w:tc>
        <w:tc>
          <w:tcPr>
            <w:tcW w:w="120" w:type="dxa"/>
            <w:vAlign w:val="bottom"/>
            <w:tcBorders>
              <w:bottom w:val="single" w:sz="8" w:color="7F7F7F"/>
            </w:tcBorders>
          </w:tcPr>
          <w:p>
            <w:pPr>
              <w:spacing w:after="0"/>
              <w:rPr>
                <w:sz w:val="16"/>
                <w:szCs w:val="16"/>
                <w:color w:val="auto"/>
              </w:rPr>
            </w:pPr>
          </w:p>
        </w:tc>
        <w:tc>
          <w:tcPr>
            <w:tcW w:w="160" w:type="dxa"/>
            <w:vAlign w:val="bottom"/>
            <w:tcBorders>
              <w:bottom w:val="single" w:sz="8" w:color="7F7F7F"/>
            </w:tcBorders>
          </w:tcPr>
          <w:p>
            <w:pPr>
              <w:spacing w:after="0"/>
              <w:rPr>
                <w:sz w:val="16"/>
                <w:szCs w:val="16"/>
                <w:color w:val="auto"/>
              </w:rPr>
            </w:pPr>
          </w:p>
        </w:tc>
        <w:tc>
          <w:tcPr>
            <w:tcW w:w="1520" w:type="dxa"/>
            <w:vAlign w:val="bottom"/>
            <w:tcBorders>
              <w:bottom w:val="single" w:sz="8" w:color="7F7F7F"/>
            </w:tcBorders>
          </w:tcPr>
          <w:p>
            <w:pPr>
              <w:jc w:val="right"/>
              <w:ind w:right="39"/>
              <w:spacing w:after="0"/>
              <w:rPr>
                <w:sz w:val="20"/>
                <w:szCs w:val="20"/>
                <w:color w:val="auto"/>
              </w:rPr>
            </w:pPr>
            <w:r>
              <w:rPr>
                <w:rFonts w:ascii="Arial" w:cs="Arial" w:eastAsia="Arial" w:hAnsi="Arial"/>
                <w:sz w:val="16"/>
                <w:szCs w:val="16"/>
                <w:color w:val="auto"/>
              </w:rPr>
              <w:t>69,641,691</w:t>
            </w:r>
          </w:p>
        </w:tc>
        <w:tc>
          <w:tcPr>
            <w:tcW w:w="120" w:type="dxa"/>
            <w:vAlign w:val="bottom"/>
            <w:tcBorders>
              <w:bottom w:val="single" w:sz="8" w:color="7F7F7F"/>
            </w:tcBorders>
          </w:tcPr>
          <w:p>
            <w:pPr>
              <w:spacing w:after="0"/>
              <w:rPr>
                <w:sz w:val="16"/>
                <w:szCs w:val="16"/>
                <w:color w:val="auto"/>
              </w:rPr>
            </w:pPr>
          </w:p>
        </w:tc>
        <w:tc>
          <w:tcPr>
            <w:tcW w:w="260" w:type="dxa"/>
            <w:vAlign w:val="bottom"/>
            <w:tcBorders>
              <w:bottom w:val="single" w:sz="8" w:color="7F7F7F"/>
            </w:tcBorders>
          </w:tcPr>
          <w:p>
            <w:pPr>
              <w:spacing w:after="0"/>
              <w:rPr>
                <w:sz w:val="16"/>
                <w:szCs w:val="16"/>
                <w:color w:val="auto"/>
              </w:rPr>
            </w:pPr>
          </w:p>
        </w:tc>
        <w:tc>
          <w:tcPr>
            <w:tcW w:w="1460" w:type="dxa"/>
            <w:vAlign w:val="bottom"/>
            <w:tcBorders>
              <w:bottom w:val="single" w:sz="8" w:color="7F7F7F"/>
            </w:tcBorders>
          </w:tcPr>
          <w:p>
            <w:pPr>
              <w:jc w:val="right"/>
              <w:ind w:right="59"/>
              <w:spacing w:after="0"/>
              <w:rPr>
                <w:sz w:val="20"/>
                <w:szCs w:val="20"/>
                <w:color w:val="auto"/>
              </w:rPr>
            </w:pPr>
            <w:r>
              <w:rPr>
                <w:rFonts w:ascii="Arial" w:cs="Arial" w:eastAsia="Arial" w:hAnsi="Arial"/>
                <w:sz w:val="16"/>
                <w:szCs w:val="16"/>
                <w:color w:val="auto"/>
              </w:rPr>
              <w:t>69,477,519</w:t>
            </w:r>
          </w:p>
        </w:tc>
      </w:tr>
      <w:tr>
        <w:trPr>
          <w:trHeight w:val="183"/>
        </w:trPr>
        <w:tc>
          <w:tcPr>
            <w:tcW w:w="5780" w:type="dxa"/>
            <w:vAlign w:val="bottom"/>
            <w:shd w:val="clear" w:color="auto" w:fill="CCEDFF"/>
          </w:tcPr>
          <w:p>
            <w:pPr>
              <w:spacing w:after="0"/>
              <w:rPr>
                <w:sz w:val="15"/>
                <w:szCs w:val="15"/>
                <w:color w:val="auto"/>
              </w:rPr>
            </w:pPr>
          </w:p>
        </w:tc>
        <w:tc>
          <w:tcPr>
            <w:tcW w:w="120" w:type="dxa"/>
            <w:vAlign w:val="bottom"/>
            <w:shd w:val="clear" w:color="auto" w:fill="CCEDFF"/>
          </w:tcPr>
          <w:p>
            <w:pPr>
              <w:spacing w:after="0"/>
              <w:rPr>
                <w:sz w:val="15"/>
                <w:szCs w:val="15"/>
                <w:color w:val="auto"/>
              </w:rPr>
            </w:pPr>
          </w:p>
        </w:tc>
        <w:tc>
          <w:tcPr>
            <w:tcW w:w="260" w:type="dxa"/>
            <w:vAlign w:val="bottom"/>
            <w:shd w:val="clear" w:color="auto" w:fill="CCEDFF"/>
          </w:tcPr>
          <w:p>
            <w:pPr>
              <w:spacing w:after="0"/>
              <w:rPr>
                <w:sz w:val="15"/>
                <w:szCs w:val="15"/>
                <w:color w:val="auto"/>
              </w:rPr>
            </w:pPr>
          </w:p>
        </w:tc>
        <w:tc>
          <w:tcPr>
            <w:tcW w:w="1440" w:type="dxa"/>
            <w:vAlign w:val="bottom"/>
            <w:shd w:val="clear" w:color="auto" w:fill="CCEDFF"/>
          </w:tcPr>
          <w:p>
            <w:pPr>
              <w:spacing w:after="0"/>
              <w:rPr>
                <w:sz w:val="15"/>
                <w:szCs w:val="15"/>
                <w:color w:val="auto"/>
              </w:rPr>
            </w:pPr>
          </w:p>
        </w:tc>
        <w:tc>
          <w:tcPr>
            <w:tcW w:w="120" w:type="dxa"/>
            <w:vAlign w:val="bottom"/>
            <w:shd w:val="clear" w:color="auto" w:fill="CCEDFF"/>
          </w:tcPr>
          <w:p>
            <w:pPr>
              <w:spacing w:after="0"/>
              <w:rPr>
                <w:sz w:val="15"/>
                <w:szCs w:val="15"/>
                <w:color w:val="auto"/>
              </w:rPr>
            </w:pPr>
          </w:p>
        </w:tc>
        <w:tc>
          <w:tcPr>
            <w:tcW w:w="160" w:type="dxa"/>
            <w:vAlign w:val="bottom"/>
            <w:shd w:val="clear" w:color="auto" w:fill="CCEDFF"/>
          </w:tcPr>
          <w:p>
            <w:pPr>
              <w:spacing w:after="0"/>
              <w:rPr>
                <w:sz w:val="15"/>
                <w:szCs w:val="15"/>
                <w:color w:val="auto"/>
              </w:rPr>
            </w:pPr>
          </w:p>
        </w:tc>
        <w:tc>
          <w:tcPr>
            <w:tcW w:w="1520" w:type="dxa"/>
            <w:vAlign w:val="bottom"/>
            <w:shd w:val="clear" w:color="auto" w:fill="CCEDFF"/>
          </w:tcPr>
          <w:p>
            <w:pPr>
              <w:spacing w:after="0"/>
              <w:rPr>
                <w:sz w:val="15"/>
                <w:szCs w:val="15"/>
                <w:color w:val="auto"/>
              </w:rPr>
            </w:pPr>
          </w:p>
        </w:tc>
        <w:tc>
          <w:tcPr>
            <w:tcW w:w="120" w:type="dxa"/>
            <w:vAlign w:val="bottom"/>
            <w:shd w:val="clear" w:color="auto" w:fill="CCEDFF"/>
          </w:tcPr>
          <w:p>
            <w:pPr>
              <w:spacing w:after="0"/>
              <w:rPr>
                <w:sz w:val="15"/>
                <w:szCs w:val="15"/>
                <w:color w:val="auto"/>
              </w:rPr>
            </w:pPr>
          </w:p>
        </w:tc>
        <w:tc>
          <w:tcPr>
            <w:tcW w:w="260" w:type="dxa"/>
            <w:vAlign w:val="bottom"/>
            <w:shd w:val="clear" w:color="auto" w:fill="CCEDFF"/>
          </w:tcPr>
          <w:p>
            <w:pPr>
              <w:spacing w:after="0"/>
              <w:rPr>
                <w:sz w:val="15"/>
                <w:szCs w:val="15"/>
                <w:color w:val="auto"/>
              </w:rPr>
            </w:pPr>
          </w:p>
        </w:tc>
        <w:tc>
          <w:tcPr>
            <w:tcW w:w="1460" w:type="dxa"/>
            <w:vAlign w:val="bottom"/>
            <w:shd w:val="clear" w:color="auto" w:fill="CCEDFF"/>
          </w:tcPr>
          <w:p>
            <w:pPr>
              <w:spacing w:after="0"/>
              <w:rPr>
                <w:sz w:val="15"/>
                <w:szCs w:val="15"/>
                <w:color w:val="auto"/>
              </w:rPr>
            </w:pPr>
          </w:p>
        </w:tc>
      </w:tr>
      <w:tr>
        <w:trPr>
          <w:trHeight w:val="189"/>
        </w:trPr>
        <w:tc>
          <w:tcPr>
            <w:tcW w:w="5780" w:type="dxa"/>
            <w:vAlign w:val="bottom"/>
          </w:tcPr>
          <w:p>
            <w:pPr>
              <w:spacing w:after="0"/>
              <w:rPr>
                <w:sz w:val="20"/>
                <w:szCs w:val="20"/>
                <w:color w:val="auto"/>
              </w:rPr>
            </w:pPr>
            <w:r>
              <w:rPr>
                <w:rFonts w:ascii="Arial" w:cs="Arial" w:eastAsia="Arial" w:hAnsi="Arial"/>
                <w:sz w:val="16"/>
                <w:szCs w:val="16"/>
                <w:b w:val="1"/>
                <w:bCs w:val="1"/>
                <w:color w:val="auto"/>
              </w:rPr>
              <w:t>Other comprehensive income (loss)</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89"/>
        </w:trPr>
        <w:tc>
          <w:tcPr>
            <w:tcW w:w="5780" w:type="dxa"/>
            <w:vAlign w:val="bottom"/>
            <w:shd w:val="clear" w:color="auto" w:fill="CCEDFF"/>
          </w:tcPr>
          <w:p>
            <w:pPr>
              <w:ind w:left="120"/>
              <w:spacing w:after="0"/>
              <w:rPr>
                <w:sz w:val="20"/>
                <w:szCs w:val="20"/>
                <w:color w:val="auto"/>
              </w:rPr>
            </w:pPr>
            <w:r>
              <w:rPr>
                <w:rFonts w:ascii="Arial" w:cs="Arial" w:eastAsia="Arial" w:hAnsi="Arial"/>
                <w:sz w:val="16"/>
                <w:szCs w:val="16"/>
                <w:color w:val="auto"/>
              </w:rPr>
              <w:t>Net income (loss)</w:t>
            </w:r>
          </w:p>
        </w:tc>
        <w:tc>
          <w:tcPr>
            <w:tcW w:w="380" w:type="dxa"/>
            <w:vAlign w:val="bottom"/>
            <w:gridSpan w:val="2"/>
            <w:shd w:val="clear" w:color="auto" w:fill="CCEDFF"/>
          </w:tcPr>
          <w:p>
            <w:pPr>
              <w:jc w:val="right"/>
              <w:ind w:right="7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DFF"/>
          </w:tcPr>
          <w:p>
            <w:pPr>
              <w:jc w:val="right"/>
              <w:spacing w:after="0"/>
              <w:rPr>
                <w:sz w:val="20"/>
                <w:szCs w:val="20"/>
                <w:color w:val="auto"/>
              </w:rPr>
            </w:pPr>
            <w:r>
              <w:rPr>
                <w:rFonts w:ascii="Arial" w:cs="Arial" w:eastAsia="Arial" w:hAnsi="Arial"/>
                <w:sz w:val="16"/>
                <w:szCs w:val="16"/>
                <w:color w:val="auto"/>
              </w:rPr>
              <w:t>(16,671)</w:t>
            </w:r>
          </w:p>
        </w:tc>
        <w:tc>
          <w:tcPr>
            <w:tcW w:w="280" w:type="dxa"/>
            <w:vAlign w:val="bottom"/>
            <w:gridSpan w:val="2"/>
            <w:shd w:val="clear" w:color="auto" w:fill="CCEDFF"/>
          </w:tcPr>
          <w:p>
            <w:pPr>
              <w:ind w:left="12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13,968</w:t>
            </w:r>
          </w:p>
        </w:tc>
        <w:tc>
          <w:tcPr>
            <w:tcW w:w="380" w:type="dxa"/>
            <w:vAlign w:val="bottom"/>
            <w:gridSpan w:val="2"/>
            <w:shd w:val="clear" w:color="auto" w:fill="CCEDFF"/>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DFF"/>
          </w:tcPr>
          <w:p>
            <w:pPr>
              <w:jc w:val="right"/>
              <w:ind w:right="59"/>
              <w:spacing w:after="0"/>
              <w:rPr>
                <w:sz w:val="20"/>
                <w:szCs w:val="20"/>
                <w:color w:val="auto"/>
              </w:rPr>
            </w:pPr>
            <w:r>
              <w:rPr>
                <w:rFonts w:ascii="Arial" w:cs="Arial" w:eastAsia="Arial" w:hAnsi="Arial"/>
                <w:sz w:val="16"/>
                <w:szCs w:val="16"/>
                <w:color w:val="auto"/>
              </w:rPr>
              <w:t>14,757</w:t>
            </w:r>
          </w:p>
        </w:tc>
      </w:tr>
      <w:tr>
        <w:trPr>
          <w:trHeight w:val="189"/>
        </w:trPr>
        <w:tc>
          <w:tcPr>
            <w:tcW w:w="578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Foreign currency translation adjustment</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1,750</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289</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4,616</w:t>
            </w:r>
          </w:p>
        </w:tc>
      </w:tr>
      <w:tr>
        <w:trPr>
          <w:trHeight w:val="183"/>
        </w:trPr>
        <w:tc>
          <w:tcPr>
            <w:tcW w:w="5780" w:type="dxa"/>
            <w:vAlign w:val="bottom"/>
            <w:shd w:val="clear" w:color="auto" w:fill="CCEDFF"/>
          </w:tcPr>
          <w:p>
            <w:pPr>
              <w:spacing w:after="0" w:line="183" w:lineRule="exact"/>
              <w:rPr>
                <w:sz w:val="20"/>
                <w:szCs w:val="20"/>
                <w:color w:val="auto"/>
              </w:rPr>
            </w:pPr>
            <w:r>
              <w:rPr>
                <w:rFonts w:ascii="Arial" w:cs="Arial" w:eastAsia="Arial" w:hAnsi="Arial"/>
                <w:sz w:val="16"/>
                <w:szCs w:val="16"/>
                <w:b w:val="1"/>
                <w:bCs w:val="1"/>
                <w:color w:val="auto"/>
              </w:rPr>
              <w:t>Comprehensive income (loss)</w:t>
            </w:r>
          </w:p>
        </w:tc>
        <w:tc>
          <w:tcPr>
            <w:tcW w:w="380" w:type="dxa"/>
            <w:vAlign w:val="bottom"/>
            <w:gridSpan w:val="2"/>
            <w:shd w:val="clear" w:color="auto" w:fill="CCEDFF"/>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1440" w:type="dxa"/>
            <w:vAlign w:val="bottom"/>
            <w:shd w:val="clear" w:color="auto" w:fill="CCEDFF"/>
          </w:tcPr>
          <w:p>
            <w:pPr>
              <w:jc w:val="right"/>
              <w:spacing w:after="0" w:line="183" w:lineRule="exact"/>
              <w:rPr>
                <w:sz w:val="20"/>
                <w:szCs w:val="20"/>
                <w:color w:val="auto"/>
              </w:rPr>
            </w:pPr>
            <w:r>
              <w:rPr>
                <w:rFonts w:ascii="Arial" w:cs="Arial" w:eastAsia="Arial" w:hAnsi="Arial"/>
                <w:sz w:val="16"/>
                <w:szCs w:val="16"/>
                <w:color w:val="auto"/>
              </w:rPr>
              <w:t>(14,921)</w:t>
            </w:r>
          </w:p>
        </w:tc>
        <w:tc>
          <w:tcPr>
            <w:tcW w:w="280" w:type="dxa"/>
            <w:vAlign w:val="bottom"/>
            <w:gridSpan w:val="2"/>
            <w:shd w:val="clear" w:color="auto" w:fill="CCEDFF"/>
          </w:tcPr>
          <w:p>
            <w:pPr>
              <w:ind w:left="120"/>
              <w:spacing w:after="0" w:line="183" w:lineRule="exact"/>
              <w:rPr>
                <w:sz w:val="20"/>
                <w:szCs w:val="20"/>
                <w:color w:val="auto"/>
              </w:rPr>
            </w:pPr>
            <w:r>
              <w:rPr>
                <w:rFonts w:ascii="Arial" w:cs="Arial" w:eastAsia="Arial" w:hAnsi="Arial"/>
                <w:sz w:val="16"/>
                <w:szCs w:val="16"/>
                <w:color w:val="auto"/>
              </w:rPr>
              <w:t>$</w:t>
            </w:r>
          </w:p>
        </w:tc>
        <w:tc>
          <w:tcPr>
            <w:tcW w:w="152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14,257</w:t>
            </w:r>
          </w:p>
        </w:tc>
        <w:tc>
          <w:tcPr>
            <w:tcW w:w="380" w:type="dxa"/>
            <w:vAlign w:val="bottom"/>
            <w:gridSpan w:val="2"/>
            <w:shd w:val="clear" w:color="auto" w:fill="CCEDFF"/>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1460" w:type="dxa"/>
            <w:vAlign w:val="bottom"/>
            <w:shd w:val="clear" w:color="auto" w:fill="CCEDFF"/>
          </w:tcPr>
          <w:p>
            <w:pPr>
              <w:jc w:val="right"/>
              <w:ind w:right="59"/>
              <w:spacing w:after="0" w:line="183" w:lineRule="exact"/>
              <w:rPr>
                <w:sz w:val="20"/>
                <w:szCs w:val="20"/>
                <w:color w:val="auto"/>
              </w:rPr>
            </w:pPr>
            <w:r>
              <w:rPr>
                <w:rFonts w:ascii="Arial" w:cs="Arial" w:eastAsia="Arial" w:hAnsi="Arial"/>
                <w:sz w:val="16"/>
                <w:szCs w:val="16"/>
                <w:color w:val="auto"/>
              </w:rPr>
              <w:t>19,373</w:t>
            </w:r>
          </w:p>
        </w:tc>
      </w:tr>
      <w:tr>
        <w:trPr>
          <w:trHeight w:val="973"/>
        </w:trPr>
        <w:tc>
          <w:tcPr>
            <w:tcW w:w="578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CCEDFF"/>
              <w:bottom w:val="single" w:sz="8" w:color="9A9A9A"/>
            </w:tcBorders>
          </w:tcPr>
          <w:p>
            <w:pPr>
              <w:spacing w:after="0"/>
              <w:rPr>
                <w:sz w:val="24"/>
                <w:szCs w:val="24"/>
                <w:color w:val="auto"/>
              </w:rPr>
            </w:pPr>
          </w:p>
        </w:tc>
        <w:tc>
          <w:tcPr>
            <w:tcW w:w="260" w:type="dxa"/>
            <w:vAlign w:val="bottom"/>
            <w:tcBorders>
              <w:top w:val="single" w:sz="8" w:color="auto"/>
              <w:bottom w:val="single" w:sz="8" w:color="9A9A9A"/>
            </w:tcBorders>
          </w:tcPr>
          <w:p>
            <w:pPr>
              <w:spacing w:after="0"/>
              <w:rPr>
                <w:sz w:val="24"/>
                <w:szCs w:val="24"/>
                <w:color w:val="auto"/>
              </w:rPr>
            </w:pPr>
          </w:p>
        </w:tc>
        <w:tc>
          <w:tcPr>
            <w:tcW w:w="144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CCEDFF"/>
              <w:bottom w:val="single" w:sz="8" w:color="9A9A9A"/>
            </w:tcBorders>
          </w:tcPr>
          <w:p>
            <w:pPr>
              <w:spacing w:after="0"/>
              <w:rPr>
                <w:sz w:val="24"/>
                <w:szCs w:val="24"/>
                <w:color w:val="auto"/>
              </w:rPr>
            </w:pPr>
          </w:p>
        </w:tc>
        <w:tc>
          <w:tcPr>
            <w:tcW w:w="160" w:type="dxa"/>
            <w:vAlign w:val="bottom"/>
            <w:tcBorders>
              <w:top w:val="single" w:sz="8" w:color="auto"/>
              <w:bottom w:val="single" w:sz="8" w:color="9A9A9A"/>
            </w:tcBorders>
          </w:tcPr>
          <w:p>
            <w:pPr>
              <w:spacing w:after="0"/>
              <w:rPr>
                <w:sz w:val="24"/>
                <w:szCs w:val="24"/>
                <w:color w:val="auto"/>
              </w:rPr>
            </w:pPr>
          </w:p>
        </w:tc>
        <w:tc>
          <w:tcPr>
            <w:tcW w:w="152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CCEDFF"/>
              <w:bottom w:val="single" w:sz="8" w:color="9A9A9A"/>
            </w:tcBorders>
          </w:tcPr>
          <w:p>
            <w:pPr>
              <w:spacing w:after="0"/>
              <w:rPr>
                <w:sz w:val="24"/>
                <w:szCs w:val="24"/>
                <w:color w:val="auto"/>
              </w:rPr>
            </w:pPr>
          </w:p>
        </w:tc>
        <w:tc>
          <w:tcPr>
            <w:tcW w:w="260" w:type="dxa"/>
            <w:vAlign w:val="bottom"/>
            <w:tcBorders>
              <w:top w:val="single" w:sz="8" w:color="auto"/>
              <w:bottom w:val="single" w:sz="8" w:color="9A9A9A"/>
            </w:tcBorders>
          </w:tcPr>
          <w:p>
            <w:pPr>
              <w:spacing w:after="0"/>
              <w:rPr>
                <w:sz w:val="24"/>
                <w:szCs w:val="24"/>
                <w:color w:val="auto"/>
              </w:rPr>
            </w:pPr>
          </w:p>
        </w:tc>
        <w:tc>
          <w:tcPr>
            <w:tcW w:w="1460" w:type="dxa"/>
            <w:vAlign w:val="bottom"/>
            <w:tcBorders>
              <w:top w:val="single" w:sz="8" w:color="auto"/>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-2365375</wp:posOffset>
            </wp:positionV>
            <wp:extent cx="774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-2365375</wp:posOffset>
            </wp:positionV>
            <wp:extent cx="768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-2365375</wp:posOffset>
            </wp:positionV>
            <wp:extent cx="768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-642620</wp:posOffset>
            </wp:positionV>
            <wp:extent cx="774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-642620</wp:posOffset>
            </wp:positionV>
            <wp:extent cx="768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-642620</wp:posOffset>
            </wp:positionV>
            <wp:extent cx="768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ectPr>
          <w:pgSz w:w="11900" w:h="16838" w:orient="portrait"/>
          <w:cols w:equalWidth="0" w:num="1">
            <w:col w:w="11240"/>
          </w:cols>
          <w:pgMar w:left="320" w:top="1236"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5420360</wp:posOffset>
            </wp:positionH>
            <wp:positionV relativeFrom="page">
              <wp:posOffset>251460</wp:posOffset>
            </wp:positionV>
            <wp:extent cx="1920240" cy="4114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920240" cy="411480"/>
                    </a:xfrm>
                    <a:prstGeom prst="rect">
                      <a:avLst/>
                    </a:prstGeom>
                    <a:noFill/>
                  </pic:spPr>
                </pic:pic>
              </a:graphicData>
            </a:graphic>
          </wp:anchor>
        </w:drawing>
        <w:t>Innovex International, Inc.</w:t>
      </w:r>
    </w:p>
    <w:p>
      <w:pPr>
        <w:jc w:val="center"/>
        <w:spacing w:after="0" w:line="231" w:lineRule="auto"/>
        <w:rPr>
          <w:sz w:val="20"/>
          <w:szCs w:val="20"/>
          <w:color w:val="auto"/>
        </w:rPr>
      </w:pPr>
      <w:r>
        <w:rPr>
          <w:rFonts w:ascii="Arial" w:cs="Arial" w:eastAsia="Arial" w:hAnsi="Arial"/>
          <w:sz w:val="20"/>
          <w:szCs w:val="20"/>
          <w:b w:val="1"/>
          <w:bCs w:val="1"/>
          <w:color w:val="auto"/>
        </w:rPr>
        <w:t>Condensed Consolidated Balance Sheets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jc w:val="right"/>
              <w:ind w:right="459"/>
              <w:spacing w:after="0"/>
              <w:rPr>
                <w:sz w:val="20"/>
                <w:szCs w:val="20"/>
                <w:color w:val="auto"/>
              </w:rPr>
            </w:pPr>
            <w:r>
              <w:rPr>
                <w:rFonts w:ascii="Arial" w:cs="Arial" w:eastAsia="Arial" w:hAnsi="Arial"/>
                <w:sz w:val="16"/>
                <w:szCs w:val="16"/>
                <w:b w:val="1"/>
                <w:bCs w:val="1"/>
                <w:color w:val="auto"/>
              </w:rPr>
              <w:t>March 31,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ind w:right="299"/>
              <w:spacing w:after="0"/>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jc w:val="right"/>
              <w:ind w:right="479"/>
              <w:spacing w:after="0"/>
              <w:rPr>
                <w:sz w:val="20"/>
                <w:szCs w:val="20"/>
                <w:color w:val="auto"/>
              </w:rPr>
            </w:pPr>
            <w:r>
              <w:rPr>
                <w:rFonts w:ascii="Arial" w:cs="Arial" w:eastAsia="Arial" w:hAnsi="Arial"/>
                <w:sz w:val="16"/>
                <w:szCs w:val="16"/>
                <w:b w:val="1"/>
                <w:bCs w:val="1"/>
                <w:color w:val="auto"/>
              </w:rPr>
              <w:t>March 31,</w:t>
            </w:r>
          </w:p>
        </w:tc>
      </w:tr>
      <w:tr>
        <w:trPr>
          <w:trHeight w:val="203"/>
        </w:trPr>
        <w:tc>
          <w:tcPr>
            <w:tcW w:w="5780" w:type="dxa"/>
            <w:vAlign w:val="bottom"/>
          </w:tcPr>
          <w:p>
            <w:pPr>
              <w:spacing w:after="0"/>
              <w:rPr>
                <w:sz w:val="20"/>
                <w:szCs w:val="20"/>
                <w:color w:val="auto"/>
              </w:rPr>
            </w:pPr>
            <w:r>
              <w:rPr>
                <w:rFonts w:ascii="Arial" w:cs="Arial" w:eastAsia="Arial" w:hAnsi="Arial"/>
                <w:sz w:val="14"/>
                <w:szCs w:val="14"/>
                <w:i w:val="1"/>
                <w:iCs w:val="1"/>
                <w:color w:val="auto"/>
              </w:rPr>
              <w:t>(in thousands, except share and par value amounts)</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2026</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2025</w:t>
            </w:r>
          </w:p>
        </w:tc>
      </w:tr>
      <w:tr>
        <w:trPr>
          <w:trHeight w:val="183"/>
        </w:trPr>
        <w:tc>
          <w:tcPr>
            <w:tcW w:w="5780" w:type="dxa"/>
            <w:vAlign w:val="bottom"/>
            <w:shd w:val="clear" w:color="auto" w:fill="CCEDFF"/>
          </w:tcPr>
          <w:p>
            <w:pPr>
              <w:spacing w:after="0" w:line="183" w:lineRule="exact"/>
              <w:rPr>
                <w:sz w:val="20"/>
                <w:szCs w:val="20"/>
                <w:color w:val="auto"/>
              </w:rPr>
            </w:pPr>
            <w:r>
              <w:rPr>
                <w:rFonts w:ascii="Arial" w:cs="Arial" w:eastAsia="Arial" w:hAnsi="Arial"/>
                <w:sz w:val="16"/>
                <w:szCs w:val="16"/>
                <w:b w:val="1"/>
                <w:bCs w:val="1"/>
                <w:color w:val="auto"/>
              </w:rPr>
              <w:t>ASSETS</w:t>
            </w:r>
          </w:p>
        </w:tc>
        <w:tc>
          <w:tcPr>
            <w:tcW w:w="120" w:type="dxa"/>
            <w:vAlign w:val="bottom"/>
            <w:shd w:val="clear" w:color="auto" w:fill="CCEDFF"/>
          </w:tcPr>
          <w:p>
            <w:pPr>
              <w:spacing w:after="0"/>
              <w:rPr>
                <w:sz w:val="15"/>
                <w:szCs w:val="15"/>
                <w:color w:val="auto"/>
              </w:rPr>
            </w:pPr>
          </w:p>
        </w:tc>
        <w:tc>
          <w:tcPr>
            <w:tcW w:w="260" w:type="dxa"/>
            <w:vAlign w:val="bottom"/>
            <w:shd w:val="clear" w:color="auto" w:fill="CCEDFF"/>
          </w:tcPr>
          <w:p>
            <w:pPr>
              <w:spacing w:after="0"/>
              <w:rPr>
                <w:sz w:val="15"/>
                <w:szCs w:val="15"/>
                <w:color w:val="auto"/>
              </w:rPr>
            </w:pPr>
          </w:p>
        </w:tc>
        <w:tc>
          <w:tcPr>
            <w:tcW w:w="1440" w:type="dxa"/>
            <w:vAlign w:val="bottom"/>
            <w:shd w:val="clear" w:color="auto" w:fill="CCEDFF"/>
          </w:tcPr>
          <w:p>
            <w:pPr>
              <w:spacing w:after="0"/>
              <w:rPr>
                <w:sz w:val="15"/>
                <w:szCs w:val="15"/>
                <w:color w:val="auto"/>
              </w:rPr>
            </w:pPr>
          </w:p>
        </w:tc>
        <w:tc>
          <w:tcPr>
            <w:tcW w:w="120" w:type="dxa"/>
            <w:vAlign w:val="bottom"/>
            <w:shd w:val="clear" w:color="auto" w:fill="CCEDFF"/>
          </w:tcPr>
          <w:p>
            <w:pPr>
              <w:spacing w:after="0"/>
              <w:rPr>
                <w:sz w:val="15"/>
                <w:szCs w:val="15"/>
                <w:color w:val="auto"/>
              </w:rPr>
            </w:pPr>
          </w:p>
        </w:tc>
        <w:tc>
          <w:tcPr>
            <w:tcW w:w="160" w:type="dxa"/>
            <w:vAlign w:val="bottom"/>
            <w:shd w:val="clear" w:color="auto" w:fill="CCEDFF"/>
          </w:tcPr>
          <w:p>
            <w:pPr>
              <w:spacing w:after="0"/>
              <w:rPr>
                <w:sz w:val="15"/>
                <w:szCs w:val="15"/>
                <w:color w:val="auto"/>
              </w:rPr>
            </w:pPr>
          </w:p>
        </w:tc>
        <w:tc>
          <w:tcPr>
            <w:tcW w:w="1520" w:type="dxa"/>
            <w:vAlign w:val="bottom"/>
            <w:shd w:val="clear" w:color="auto" w:fill="CCEDFF"/>
          </w:tcPr>
          <w:p>
            <w:pPr>
              <w:spacing w:after="0"/>
              <w:rPr>
                <w:sz w:val="15"/>
                <w:szCs w:val="15"/>
                <w:color w:val="auto"/>
              </w:rPr>
            </w:pPr>
          </w:p>
        </w:tc>
        <w:tc>
          <w:tcPr>
            <w:tcW w:w="120" w:type="dxa"/>
            <w:vAlign w:val="bottom"/>
            <w:shd w:val="clear" w:color="auto" w:fill="CCEDFF"/>
          </w:tcPr>
          <w:p>
            <w:pPr>
              <w:spacing w:after="0"/>
              <w:rPr>
                <w:sz w:val="15"/>
                <w:szCs w:val="15"/>
                <w:color w:val="auto"/>
              </w:rPr>
            </w:pPr>
          </w:p>
        </w:tc>
        <w:tc>
          <w:tcPr>
            <w:tcW w:w="260" w:type="dxa"/>
            <w:vAlign w:val="bottom"/>
            <w:shd w:val="clear" w:color="auto" w:fill="CCEDFF"/>
          </w:tcPr>
          <w:p>
            <w:pPr>
              <w:spacing w:after="0"/>
              <w:rPr>
                <w:sz w:val="15"/>
                <w:szCs w:val="15"/>
                <w:color w:val="auto"/>
              </w:rPr>
            </w:pPr>
          </w:p>
        </w:tc>
        <w:tc>
          <w:tcPr>
            <w:tcW w:w="1460" w:type="dxa"/>
            <w:vAlign w:val="bottom"/>
            <w:shd w:val="clear" w:color="auto" w:fill="CCEDFF"/>
          </w:tcPr>
          <w:p>
            <w:pPr>
              <w:spacing w:after="0"/>
              <w:rPr>
                <w:sz w:val="15"/>
                <w:szCs w:val="15"/>
                <w:color w:val="auto"/>
              </w:rPr>
            </w:pPr>
          </w:p>
        </w:tc>
      </w:tr>
      <w:tr>
        <w:trPr>
          <w:trHeight w:val="189"/>
        </w:trPr>
        <w:tc>
          <w:tcPr>
            <w:tcW w:w="5780" w:type="dxa"/>
            <w:vAlign w:val="bottom"/>
          </w:tcPr>
          <w:p>
            <w:pPr>
              <w:spacing w:after="0"/>
              <w:rPr>
                <w:sz w:val="20"/>
                <w:szCs w:val="20"/>
                <w:color w:val="auto"/>
              </w:rPr>
            </w:pPr>
            <w:r>
              <w:rPr>
                <w:rFonts w:ascii="Arial" w:cs="Arial" w:eastAsia="Arial" w:hAnsi="Arial"/>
                <w:sz w:val="16"/>
                <w:szCs w:val="16"/>
                <w:color w:val="auto"/>
              </w:rPr>
              <w:t>Current assets</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89"/>
        </w:trPr>
        <w:tc>
          <w:tcPr>
            <w:tcW w:w="5780" w:type="dxa"/>
            <w:vAlign w:val="bottom"/>
            <w:shd w:val="clear" w:color="auto" w:fill="CCEDFF"/>
          </w:tcPr>
          <w:p>
            <w:pPr>
              <w:ind w:left="60"/>
              <w:spacing w:after="0"/>
              <w:rPr>
                <w:sz w:val="20"/>
                <w:szCs w:val="20"/>
                <w:color w:val="auto"/>
              </w:rPr>
            </w:pPr>
            <w:r>
              <w:rPr>
                <w:rFonts w:ascii="Arial" w:cs="Arial" w:eastAsia="Arial" w:hAnsi="Arial"/>
                <w:sz w:val="16"/>
                <w:szCs w:val="16"/>
                <w:color w:val="auto"/>
              </w:rPr>
              <w:t>Cash and cash equivalents</w:t>
            </w:r>
          </w:p>
        </w:tc>
        <w:tc>
          <w:tcPr>
            <w:tcW w:w="380" w:type="dxa"/>
            <w:vAlign w:val="bottom"/>
            <w:gridSpan w:val="2"/>
            <w:shd w:val="clear" w:color="auto" w:fill="CCEDFF"/>
          </w:tcPr>
          <w:p>
            <w:pPr>
              <w:jc w:val="right"/>
              <w:ind w:right="16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200,707</w:t>
            </w:r>
          </w:p>
        </w:tc>
        <w:tc>
          <w:tcPr>
            <w:tcW w:w="280" w:type="dxa"/>
            <w:vAlign w:val="bottom"/>
            <w:gridSpan w:val="2"/>
            <w:shd w:val="clear" w:color="auto" w:fill="CCEDFF"/>
          </w:tcPr>
          <w:p>
            <w:pPr>
              <w:jc w:val="right"/>
              <w:ind w:right="8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203,407</w:t>
            </w:r>
          </w:p>
        </w:tc>
        <w:tc>
          <w:tcPr>
            <w:tcW w:w="380" w:type="dxa"/>
            <w:vAlign w:val="bottom"/>
            <w:gridSpan w:val="2"/>
            <w:shd w:val="clear" w:color="auto" w:fill="CCEDFF"/>
          </w:tcPr>
          <w:p>
            <w:pPr>
              <w:jc w:val="right"/>
              <w:ind w:right="16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DFF"/>
          </w:tcPr>
          <w:p>
            <w:pPr>
              <w:jc w:val="right"/>
              <w:ind w:right="59"/>
              <w:spacing w:after="0"/>
              <w:rPr>
                <w:sz w:val="20"/>
                <w:szCs w:val="20"/>
                <w:color w:val="auto"/>
              </w:rPr>
            </w:pPr>
            <w:r>
              <w:rPr>
                <w:rFonts w:ascii="Arial" w:cs="Arial" w:eastAsia="Arial" w:hAnsi="Arial"/>
                <w:sz w:val="16"/>
                <w:szCs w:val="16"/>
                <w:color w:val="auto"/>
              </w:rPr>
              <w:t>68,116</w:t>
            </w:r>
          </w:p>
        </w:tc>
      </w:tr>
      <w:tr>
        <w:trPr>
          <w:trHeight w:val="189"/>
        </w:trPr>
        <w:tc>
          <w:tcPr>
            <w:tcW w:w="5780" w:type="dxa"/>
            <w:vAlign w:val="bottom"/>
          </w:tcPr>
          <w:p>
            <w:pPr>
              <w:ind w:left="60"/>
              <w:spacing w:after="0"/>
              <w:rPr>
                <w:sz w:val="20"/>
                <w:szCs w:val="20"/>
                <w:color w:val="auto"/>
              </w:rPr>
            </w:pPr>
            <w:r>
              <w:rPr>
                <w:rFonts w:ascii="Arial" w:cs="Arial" w:eastAsia="Arial" w:hAnsi="Arial"/>
                <w:sz w:val="16"/>
                <w:szCs w:val="16"/>
                <w:color w:val="auto"/>
              </w:rPr>
              <w:t>Trade receivable, net</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245,633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237,774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236,020</w:t>
            </w:r>
          </w:p>
        </w:tc>
      </w:tr>
      <w:tr>
        <w:trPr>
          <w:trHeight w:val="189"/>
        </w:trPr>
        <w:tc>
          <w:tcPr>
            <w:tcW w:w="5780" w:type="dxa"/>
            <w:vAlign w:val="bottom"/>
            <w:shd w:val="clear" w:color="auto" w:fill="CCEDFF"/>
          </w:tcPr>
          <w:p>
            <w:pPr>
              <w:ind w:left="60"/>
              <w:spacing w:after="0"/>
              <w:rPr>
                <w:sz w:val="20"/>
                <w:szCs w:val="20"/>
                <w:color w:val="auto"/>
              </w:rPr>
            </w:pPr>
            <w:r>
              <w:rPr>
                <w:rFonts w:ascii="Arial" w:cs="Arial" w:eastAsia="Arial" w:hAnsi="Arial"/>
                <w:sz w:val="16"/>
                <w:szCs w:val="16"/>
                <w:color w:val="auto"/>
              </w:rPr>
              <w:t>Inventories, net</w:t>
            </w:r>
          </w:p>
        </w:tc>
        <w:tc>
          <w:tcPr>
            <w:tcW w:w="120" w:type="dxa"/>
            <w:vAlign w:val="bottom"/>
            <w:shd w:val="clear" w:color="auto" w:fill="CCEDFF"/>
          </w:tcPr>
          <w:p>
            <w:pPr>
              <w:spacing w:after="0"/>
              <w:rPr>
                <w:sz w:val="16"/>
                <w:szCs w:val="16"/>
                <w:color w:val="auto"/>
              </w:rPr>
            </w:pPr>
          </w:p>
        </w:tc>
        <w:tc>
          <w:tcPr>
            <w:tcW w:w="260" w:type="dxa"/>
            <w:vAlign w:val="bottom"/>
            <w:shd w:val="clear" w:color="auto" w:fill="CCEDFF"/>
          </w:tcPr>
          <w:p>
            <w:pPr>
              <w:spacing w:after="0"/>
              <w:rPr>
                <w:sz w:val="16"/>
                <w:szCs w:val="16"/>
                <w:color w:val="auto"/>
              </w:rPr>
            </w:pPr>
          </w:p>
        </w:tc>
        <w:tc>
          <w:tcPr>
            <w:tcW w:w="144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252,987</w:t>
            </w:r>
          </w:p>
        </w:tc>
        <w:tc>
          <w:tcPr>
            <w:tcW w:w="120" w:type="dxa"/>
            <w:vAlign w:val="bottom"/>
            <w:shd w:val="clear" w:color="auto" w:fill="CCEDFF"/>
          </w:tcPr>
          <w:p>
            <w:pPr>
              <w:spacing w:after="0"/>
              <w:rPr>
                <w:sz w:val="16"/>
                <w:szCs w:val="16"/>
                <w:color w:val="auto"/>
              </w:rPr>
            </w:pPr>
          </w:p>
        </w:tc>
        <w:tc>
          <w:tcPr>
            <w:tcW w:w="160" w:type="dxa"/>
            <w:vAlign w:val="bottom"/>
            <w:shd w:val="clear" w:color="auto" w:fill="CCEDFF"/>
          </w:tcPr>
          <w:p>
            <w:pPr>
              <w:spacing w:after="0"/>
              <w:rPr>
                <w:sz w:val="16"/>
                <w:szCs w:val="16"/>
                <w:color w:val="auto"/>
              </w:rPr>
            </w:pPr>
          </w:p>
        </w:tc>
        <w:tc>
          <w:tcPr>
            <w:tcW w:w="152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248,433</w:t>
            </w:r>
          </w:p>
        </w:tc>
        <w:tc>
          <w:tcPr>
            <w:tcW w:w="120" w:type="dxa"/>
            <w:vAlign w:val="bottom"/>
            <w:shd w:val="clear" w:color="auto" w:fill="CCEDFF"/>
          </w:tcPr>
          <w:p>
            <w:pPr>
              <w:spacing w:after="0"/>
              <w:rPr>
                <w:sz w:val="16"/>
                <w:szCs w:val="16"/>
                <w:color w:val="auto"/>
              </w:rPr>
            </w:pPr>
          </w:p>
        </w:tc>
        <w:tc>
          <w:tcPr>
            <w:tcW w:w="260" w:type="dxa"/>
            <w:vAlign w:val="bottom"/>
            <w:shd w:val="clear" w:color="auto" w:fill="CCEDFF"/>
          </w:tcPr>
          <w:p>
            <w:pPr>
              <w:spacing w:after="0"/>
              <w:rPr>
                <w:sz w:val="16"/>
                <w:szCs w:val="16"/>
                <w:color w:val="auto"/>
              </w:rPr>
            </w:pPr>
          </w:p>
        </w:tc>
        <w:tc>
          <w:tcPr>
            <w:tcW w:w="1460" w:type="dxa"/>
            <w:vAlign w:val="bottom"/>
            <w:shd w:val="clear" w:color="auto" w:fill="CCEDFF"/>
          </w:tcPr>
          <w:p>
            <w:pPr>
              <w:jc w:val="right"/>
              <w:ind w:right="59"/>
              <w:spacing w:after="0"/>
              <w:rPr>
                <w:sz w:val="20"/>
                <w:szCs w:val="20"/>
                <w:color w:val="auto"/>
              </w:rPr>
            </w:pPr>
            <w:r>
              <w:rPr>
                <w:rFonts w:ascii="Arial" w:cs="Arial" w:eastAsia="Arial" w:hAnsi="Arial"/>
                <w:sz w:val="16"/>
                <w:szCs w:val="16"/>
                <w:color w:val="auto"/>
              </w:rPr>
              <w:t>269,251</w:t>
            </w:r>
          </w:p>
        </w:tc>
      </w:tr>
      <w:tr>
        <w:trPr>
          <w:trHeight w:val="189"/>
        </w:trPr>
        <w:tc>
          <w:tcPr>
            <w:tcW w:w="578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Other current assets</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53,564</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38,433</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59,251</w:t>
            </w:r>
          </w:p>
        </w:tc>
      </w:tr>
      <w:tr>
        <w:trPr>
          <w:trHeight w:val="183"/>
        </w:trPr>
        <w:tc>
          <w:tcPr>
            <w:tcW w:w="5780" w:type="dxa"/>
            <w:vAlign w:val="bottom"/>
            <w:shd w:val="clear" w:color="auto" w:fill="CCEDFF"/>
          </w:tcPr>
          <w:p>
            <w:pPr>
              <w:ind w:left="120"/>
              <w:spacing w:after="0" w:line="183" w:lineRule="exact"/>
              <w:rPr>
                <w:sz w:val="20"/>
                <w:szCs w:val="20"/>
                <w:color w:val="auto"/>
              </w:rPr>
            </w:pPr>
            <w:r>
              <w:rPr>
                <w:rFonts w:ascii="Arial" w:cs="Arial" w:eastAsia="Arial" w:hAnsi="Arial"/>
                <w:sz w:val="16"/>
                <w:szCs w:val="16"/>
                <w:color w:val="auto"/>
              </w:rPr>
              <w:t>Total current assets</w:t>
            </w:r>
          </w:p>
        </w:tc>
        <w:tc>
          <w:tcPr>
            <w:tcW w:w="120" w:type="dxa"/>
            <w:vAlign w:val="bottom"/>
            <w:shd w:val="clear" w:color="auto" w:fill="CCEDFF"/>
          </w:tcPr>
          <w:p>
            <w:pPr>
              <w:spacing w:after="0"/>
              <w:rPr>
                <w:sz w:val="15"/>
                <w:szCs w:val="15"/>
                <w:color w:val="auto"/>
              </w:rPr>
            </w:pPr>
          </w:p>
        </w:tc>
        <w:tc>
          <w:tcPr>
            <w:tcW w:w="260" w:type="dxa"/>
            <w:vAlign w:val="bottom"/>
            <w:shd w:val="clear" w:color="auto" w:fill="CCEDFF"/>
          </w:tcPr>
          <w:p>
            <w:pPr>
              <w:spacing w:after="0"/>
              <w:rPr>
                <w:sz w:val="15"/>
                <w:szCs w:val="15"/>
                <w:color w:val="auto"/>
              </w:rPr>
            </w:pPr>
          </w:p>
        </w:tc>
        <w:tc>
          <w:tcPr>
            <w:tcW w:w="144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752,891</w:t>
            </w:r>
          </w:p>
        </w:tc>
        <w:tc>
          <w:tcPr>
            <w:tcW w:w="120" w:type="dxa"/>
            <w:vAlign w:val="bottom"/>
            <w:shd w:val="clear" w:color="auto" w:fill="CCEDFF"/>
          </w:tcPr>
          <w:p>
            <w:pPr>
              <w:spacing w:after="0"/>
              <w:rPr>
                <w:sz w:val="15"/>
                <w:szCs w:val="15"/>
                <w:color w:val="auto"/>
              </w:rPr>
            </w:pPr>
          </w:p>
        </w:tc>
        <w:tc>
          <w:tcPr>
            <w:tcW w:w="160" w:type="dxa"/>
            <w:vAlign w:val="bottom"/>
            <w:shd w:val="clear" w:color="auto" w:fill="CCEDFF"/>
          </w:tcPr>
          <w:p>
            <w:pPr>
              <w:spacing w:after="0"/>
              <w:rPr>
                <w:sz w:val="15"/>
                <w:szCs w:val="15"/>
                <w:color w:val="auto"/>
              </w:rPr>
            </w:pPr>
          </w:p>
        </w:tc>
        <w:tc>
          <w:tcPr>
            <w:tcW w:w="152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728,047</w:t>
            </w:r>
          </w:p>
        </w:tc>
        <w:tc>
          <w:tcPr>
            <w:tcW w:w="120" w:type="dxa"/>
            <w:vAlign w:val="bottom"/>
            <w:shd w:val="clear" w:color="auto" w:fill="CCEDFF"/>
          </w:tcPr>
          <w:p>
            <w:pPr>
              <w:spacing w:after="0"/>
              <w:rPr>
                <w:sz w:val="15"/>
                <w:szCs w:val="15"/>
                <w:color w:val="auto"/>
              </w:rPr>
            </w:pPr>
          </w:p>
        </w:tc>
        <w:tc>
          <w:tcPr>
            <w:tcW w:w="260" w:type="dxa"/>
            <w:vAlign w:val="bottom"/>
            <w:shd w:val="clear" w:color="auto" w:fill="CCEDFF"/>
          </w:tcPr>
          <w:p>
            <w:pPr>
              <w:spacing w:after="0"/>
              <w:rPr>
                <w:sz w:val="15"/>
                <w:szCs w:val="15"/>
                <w:color w:val="auto"/>
              </w:rPr>
            </w:pPr>
          </w:p>
        </w:tc>
        <w:tc>
          <w:tcPr>
            <w:tcW w:w="1460" w:type="dxa"/>
            <w:vAlign w:val="bottom"/>
            <w:shd w:val="clear" w:color="auto" w:fill="CCEDFF"/>
          </w:tcPr>
          <w:p>
            <w:pPr>
              <w:jc w:val="right"/>
              <w:ind w:right="59"/>
              <w:spacing w:after="0" w:line="183" w:lineRule="exact"/>
              <w:rPr>
                <w:sz w:val="20"/>
                <w:szCs w:val="20"/>
                <w:color w:val="auto"/>
              </w:rPr>
            </w:pPr>
            <w:r>
              <w:rPr>
                <w:rFonts w:ascii="Arial" w:cs="Arial" w:eastAsia="Arial" w:hAnsi="Arial"/>
                <w:sz w:val="16"/>
                <w:szCs w:val="16"/>
                <w:color w:val="auto"/>
              </w:rPr>
              <w:t>632,638</w:t>
            </w:r>
          </w:p>
        </w:tc>
      </w:tr>
      <w:tr>
        <w:trPr>
          <w:trHeight w:val="189"/>
        </w:trPr>
        <w:tc>
          <w:tcPr>
            <w:tcW w:w="5780" w:type="dxa"/>
            <w:vAlign w:val="bottom"/>
          </w:tcPr>
          <w:p>
            <w:pPr>
              <w:spacing w:after="0"/>
              <w:rPr>
                <w:sz w:val="20"/>
                <w:szCs w:val="20"/>
                <w:color w:val="auto"/>
              </w:rPr>
            </w:pPr>
            <w:r>
              <w:rPr>
                <w:rFonts w:ascii="Arial" w:cs="Arial" w:eastAsia="Arial" w:hAnsi="Arial"/>
                <w:sz w:val="16"/>
                <w:szCs w:val="16"/>
                <w:color w:val="auto"/>
              </w:rPr>
              <w:t>Noncurrent assets</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89"/>
        </w:trPr>
        <w:tc>
          <w:tcPr>
            <w:tcW w:w="5780" w:type="dxa"/>
            <w:vAlign w:val="bottom"/>
            <w:shd w:val="clear" w:color="auto" w:fill="CCEDFF"/>
          </w:tcPr>
          <w:p>
            <w:pPr>
              <w:ind w:left="60"/>
              <w:spacing w:after="0"/>
              <w:rPr>
                <w:sz w:val="20"/>
                <w:szCs w:val="20"/>
                <w:color w:val="auto"/>
              </w:rPr>
            </w:pPr>
            <w:r>
              <w:rPr>
                <w:rFonts w:ascii="Arial" w:cs="Arial" w:eastAsia="Arial" w:hAnsi="Arial"/>
                <w:sz w:val="16"/>
                <w:szCs w:val="16"/>
                <w:color w:val="auto"/>
              </w:rPr>
              <w:t>Property and equipment, net</w:t>
            </w:r>
          </w:p>
        </w:tc>
        <w:tc>
          <w:tcPr>
            <w:tcW w:w="120" w:type="dxa"/>
            <w:vAlign w:val="bottom"/>
            <w:shd w:val="clear" w:color="auto" w:fill="CCEDFF"/>
          </w:tcPr>
          <w:p>
            <w:pPr>
              <w:spacing w:after="0"/>
              <w:rPr>
                <w:sz w:val="16"/>
                <w:szCs w:val="16"/>
                <w:color w:val="auto"/>
              </w:rPr>
            </w:pPr>
          </w:p>
        </w:tc>
        <w:tc>
          <w:tcPr>
            <w:tcW w:w="260" w:type="dxa"/>
            <w:vAlign w:val="bottom"/>
            <w:shd w:val="clear" w:color="auto" w:fill="CCEDFF"/>
          </w:tcPr>
          <w:p>
            <w:pPr>
              <w:spacing w:after="0"/>
              <w:rPr>
                <w:sz w:val="16"/>
                <w:szCs w:val="16"/>
                <w:color w:val="auto"/>
              </w:rPr>
            </w:pPr>
          </w:p>
        </w:tc>
        <w:tc>
          <w:tcPr>
            <w:tcW w:w="144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163,328</w:t>
            </w:r>
          </w:p>
        </w:tc>
        <w:tc>
          <w:tcPr>
            <w:tcW w:w="120" w:type="dxa"/>
            <w:vAlign w:val="bottom"/>
            <w:shd w:val="clear" w:color="auto" w:fill="CCEDFF"/>
          </w:tcPr>
          <w:p>
            <w:pPr>
              <w:spacing w:after="0"/>
              <w:rPr>
                <w:sz w:val="16"/>
                <w:szCs w:val="16"/>
                <w:color w:val="auto"/>
              </w:rPr>
            </w:pPr>
          </w:p>
        </w:tc>
        <w:tc>
          <w:tcPr>
            <w:tcW w:w="160" w:type="dxa"/>
            <w:vAlign w:val="bottom"/>
            <w:shd w:val="clear" w:color="auto" w:fill="CCEDFF"/>
          </w:tcPr>
          <w:p>
            <w:pPr>
              <w:spacing w:after="0"/>
              <w:rPr>
                <w:sz w:val="16"/>
                <w:szCs w:val="16"/>
                <w:color w:val="auto"/>
              </w:rPr>
            </w:pPr>
          </w:p>
        </w:tc>
        <w:tc>
          <w:tcPr>
            <w:tcW w:w="152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158,874</w:t>
            </w:r>
          </w:p>
        </w:tc>
        <w:tc>
          <w:tcPr>
            <w:tcW w:w="120" w:type="dxa"/>
            <w:vAlign w:val="bottom"/>
            <w:shd w:val="clear" w:color="auto" w:fill="CCEDFF"/>
          </w:tcPr>
          <w:p>
            <w:pPr>
              <w:spacing w:after="0"/>
              <w:rPr>
                <w:sz w:val="16"/>
                <w:szCs w:val="16"/>
                <w:color w:val="auto"/>
              </w:rPr>
            </w:pPr>
          </w:p>
        </w:tc>
        <w:tc>
          <w:tcPr>
            <w:tcW w:w="260" w:type="dxa"/>
            <w:vAlign w:val="bottom"/>
            <w:shd w:val="clear" w:color="auto" w:fill="CCEDFF"/>
          </w:tcPr>
          <w:p>
            <w:pPr>
              <w:spacing w:after="0"/>
              <w:rPr>
                <w:sz w:val="16"/>
                <w:szCs w:val="16"/>
                <w:color w:val="auto"/>
              </w:rPr>
            </w:pPr>
          </w:p>
        </w:tc>
        <w:tc>
          <w:tcPr>
            <w:tcW w:w="1460" w:type="dxa"/>
            <w:vAlign w:val="bottom"/>
            <w:shd w:val="clear" w:color="auto" w:fill="CCEDFF"/>
          </w:tcPr>
          <w:p>
            <w:pPr>
              <w:jc w:val="right"/>
              <w:ind w:right="59"/>
              <w:spacing w:after="0"/>
              <w:rPr>
                <w:sz w:val="20"/>
                <w:szCs w:val="20"/>
                <w:color w:val="auto"/>
              </w:rPr>
            </w:pPr>
            <w:r>
              <w:rPr>
                <w:rFonts w:ascii="Arial" w:cs="Arial" w:eastAsia="Arial" w:hAnsi="Arial"/>
                <w:sz w:val="16"/>
                <w:szCs w:val="16"/>
                <w:color w:val="auto"/>
              </w:rPr>
              <w:t>188,426</w:t>
            </w:r>
          </w:p>
        </w:tc>
      </w:tr>
      <w:tr>
        <w:trPr>
          <w:trHeight w:val="189"/>
        </w:trPr>
        <w:tc>
          <w:tcPr>
            <w:tcW w:w="5780" w:type="dxa"/>
            <w:vAlign w:val="bottom"/>
          </w:tcPr>
          <w:p>
            <w:pPr>
              <w:ind w:left="60"/>
              <w:spacing w:after="0"/>
              <w:rPr>
                <w:sz w:val="20"/>
                <w:szCs w:val="20"/>
                <w:color w:val="auto"/>
              </w:rPr>
            </w:pPr>
            <w:r>
              <w:rPr>
                <w:rFonts w:ascii="Arial" w:cs="Arial" w:eastAsia="Arial" w:hAnsi="Arial"/>
                <w:sz w:val="16"/>
                <w:szCs w:val="16"/>
                <w:color w:val="auto"/>
              </w:rPr>
              <w:t>Goodwill and net intangibles</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211,738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215,950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180,314</w:t>
            </w:r>
          </w:p>
        </w:tc>
      </w:tr>
      <w:tr>
        <w:trPr>
          <w:trHeight w:val="189"/>
        </w:trPr>
        <w:tc>
          <w:tcPr>
            <w:tcW w:w="5780" w:type="dxa"/>
            <w:vAlign w:val="bottom"/>
            <w:shd w:val="clear" w:color="auto" w:fill="CCEDFF"/>
          </w:tcPr>
          <w:p>
            <w:pPr>
              <w:ind w:left="60"/>
              <w:spacing w:after="0"/>
              <w:rPr>
                <w:sz w:val="20"/>
                <w:szCs w:val="20"/>
                <w:color w:val="auto"/>
              </w:rPr>
            </w:pPr>
            <w:r>
              <w:rPr>
                <w:rFonts w:ascii="Arial" w:cs="Arial" w:eastAsia="Arial" w:hAnsi="Arial"/>
                <w:sz w:val="16"/>
                <w:szCs w:val="16"/>
                <w:color w:val="auto"/>
              </w:rPr>
              <w:t>Right of use leases - operating, net</w:t>
            </w:r>
          </w:p>
        </w:tc>
        <w:tc>
          <w:tcPr>
            <w:tcW w:w="120" w:type="dxa"/>
            <w:vAlign w:val="bottom"/>
            <w:shd w:val="clear" w:color="auto" w:fill="CCEDFF"/>
          </w:tcPr>
          <w:p>
            <w:pPr>
              <w:spacing w:after="0"/>
              <w:rPr>
                <w:sz w:val="16"/>
                <w:szCs w:val="16"/>
                <w:color w:val="auto"/>
              </w:rPr>
            </w:pPr>
          </w:p>
        </w:tc>
        <w:tc>
          <w:tcPr>
            <w:tcW w:w="260" w:type="dxa"/>
            <w:vAlign w:val="bottom"/>
            <w:shd w:val="clear" w:color="auto" w:fill="CCEDFF"/>
          </w:tcPr>
          <w:p>
            <w:pPr>
              <w:spacing w:after="0"/>
              <w:rPr>
                <w:sz w:val="16"/>
                <w:szCs w:val="16"/>
                <w:color w:val="auto"/>
              </w:rPr>
            </w:pPr>
          </w:p>
        </w:tc>
        <w:tc>
          <w:tcPr>
            <w:tcW w:w="144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51,213</w:t>
            </w:r>
          </w:p>
        </w:tc>
        <w:tc>
          <w:tcPr>
            <w:tcW w:w="120" w:type="dxa"/>
            <w:vAlign w:val="bottom"/>
            <w:shd w:val="clear" w:color="auto" w:fill="CCEDFF"/>
          </w:tcPr>
          <w:p>
            <w:pPr>
              <w:spacing w:after="0"/>
              <w:rPr>
                <w:sz w:val="16"/>
                <w:szCs w:val="16"/>
                <w:color w:val="auto"/>
              </w:rPr>
            </w:pPr>
          </w:p>
        </w:tc>
        <w:tc>
          <w:tcPr>
            <w:tcW w:w="160" w:type="dxa"/>
            <w:vAlign w:val="bottom"/>
            <w:shd w:val="clear" w:color="auto" w:fill="CCEDFF"/>
          </w:tcPr>
          <w:p>
            <w:pPr>
              <w:spacing w:after="0"/>
              <w:rPr>
                <w:sz w:val="16"/>
                <w:szCs w:val="16"/>
                <w:color w:val="auto"/>
              </w:rPr>
            </w:pPr>
          </w:p>
        </w:tc>
        <w:tc>
          <w:tcPr>
            <w:tcW w:w="152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52,204</w:t>
            </w:r>
          </w:p>
        </w:tc>
        <w:tc>
          <w:tcPr>
            <w:tcW w:w="120" w:type="dxa"/>
            <w:vAlign w:val="bottom"/>
            <w:shd w:val="clear" w:color="auto" w:fill="CCEDFF"/>
          </w:tcPr>
          <w:p>
            <w:pPr>
              <w:spacing w:after="0"/>
              <w:rPr>
                <w:sz w:val="16"/>
                <w:szCs w:val="16"/>
                <w:color w:val="auto"/>
              </w:rPr>
            </w:pPr>
          </w:p>
        </w:tc>
        <w:tc>
          <w:tcPr>
            <w:tcW w:w="260" w:type="dxa"/>
            <w:vAlign w:val="bottom"/>
            <w:shd w:val="clear" w:color="auto" w:fill="CCEDFF"/>
          </w:tcPr>
          <w:p>
            <w:pPr>
              <w:spacing w:after="0"/>
              <w:rPr>
                <w:sz w:val="16"/>
                <w:szCs w:val="16"/>
                <w:color w:val="auto"/>
              </w:rPr>
            </w:pPr>
          </w:p>
        </w:tc>
        <w:tc>
          <w:tcPr>
            <w:tcW w:w="1460" w:type="dxa"/>
            <w:vAlign w:val="bottom"/>
            <w:shd w:val="clear" w:color="auto" w:fill="CCEDFF"/>
          </w:tcPr>
          <w:p>
            <w:pPr>
              <w:jc w:val="right"/>
              <w:ind w:right="59"/>
              <w:spacing w:after="0"/>
              <w:rPr>
                <w:sz w:val="20"/>
                <w:szCs w:val="20"/>
                <w:color w:val="auto"/>
              </w:rPr>
            </w:pPr>
            <w:r>
              <w:rPr>
                <w:rFonts w:ascii="Arial" w:cs="Arial" w:eastAsia="Arial" w:hAnsi="Arial"/>
                <w:sz w:val="16"/>
                <w:szCs w:val="16"/>
                <w:color w:val="auto"/>
              </w:rPr>
              <w:t>56,960</w:t>
            </w:r>
          </w:p>
        </w:tc>
      </w:tr>
      <w:tr>
        <w:trPr>
          <w:trHeight w:val="189"/>
        </w:trPr>
        <w:tc>
          <w:tcPr>
            <w:tcW w:w="5780" w:type="dxa"/>
            <w:vAlign w:val="bottom"/>
          </w:tcPr>
          <w:p>
            <w:pPr>
              <w:ind w:left="60"/>
              <w:spacing w:after="0"/>
              <w:rPr>
                <w:sz w:val="20"/>
                <w:szCs w:val="20"/>
                <w:color w:val="auto"/>
              </w:rPr>
            </w:pPr>
            <w:r>
              <w:rPr>
                <w:rFonts w:ascii="Arial" w:cs="Arial" w:eastAsia="Arial" w:hAnsi="Arial"/>
                <w:sz w:val="16"/>
                <w:szCs w:val="16"/>
                <w:color w:val="auto"/>
              </w:rPr>
              <w:t>Deferred tax asset, net</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98,226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102,375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128,992</w:t>
            </w:r>
          </w:p>
        </w:tc>
      </w:tr>
      <w:tr>
        <w:trPr>
          <w:trHeight w:val="189"/>
        </w:trPr>
        <w:tc>
          <w:tcPr>
            <w:tcW w:w="5780" w:type="dxa"/>
            <w:vAlign w:val="bottom"/>
            <w:tcBorders>
              <w:bottom w:val="single" w:sz="8" w:color="auto"/>
            </w:tcBorders>
            <w:shd w:val="clear" w:color="auto" w:fill="CCEDFF"/>
          </w:tcPr>
          <w:p>
            <w:pPr>
              <w:ind w:left="60"/>
              <w:spacing w:after="0"/>
              <w:rPr>
                <w:sz w:val="20"/>
                <w:szCs w:val="20"/>
                <w:color w:val="auto"/>
              </w:rPr>
            </w:pPr>
            <w:r>
              <w:rPr>
                <w:rFonts w:ascii="Arial" w:cs="Arial" w:eastAsia="Arial" w:hAnsi="Arial"/>
                <w:sz w:val="16"/>
                <w:szCs w:val="16"/>
                <w:color w:val="auto"/>
              </w:rPr>
              <w:t>Other long-term assets</w:t>
            </w:r>
          </w:p>
        </w:tc>
        <w:tc>
          <w:tcPr>
            <w:tcW w:w="120" w:type="dxa"/>
            <w:vAlign w:val="bottom"/>
            <w:tcBorders>
              <w:bottom w:val="single" w:sz="8" w:color="CCEDFF"/>
            </w:tcBorders>
            <w:shd w:val="clear" w:color="auto" w:fill="CCEDFF"/>
          </w:tcPr>
          <w:p>
            <w:pPr>
              <w:spacing w:after="0"/>
              <w:rPr>
                <w:sz w:val="16"/>
                <w:szCs w:val="16"/>
                <w:color w:val="auto"/>
              </w:rPr>
            </w:pPr>
          </w:p>
        </w:tc>
        <w:tc>
          <w:tcPr>
            <w:tcW w:w="260" w:type="dxa"/>
            <w:vAlign w:val="bottom"/>
            <w:tcBorders>
              <w:bottom w:val="single" w:sz="8" w:color="auto"/>
            </w:tcBorders>
            <w:shd w:val="clear" w:color="auto" w:fill="CCEDFF"/>
          </w:tcPr>
          <w:p>
            <w:pPr>
              <w:spacing w:after="0"/>
              <w:rPr>
                <w:sz w:val="16"/>
                <w:szCs w:val="16"/>
                <w:color w:val="auto"/>
              </w:rPr>
            </w:pPr>
          </w:p>
        </w:tc>
        <w:tc>
          <w:tcPr>
            <w:tcW w:w="144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10,281</w:t>
            </w:r>
          </w:p>
        </w:tc>
        <w:tc>
          <w:tcPr>
            <w:tcW w:w="120" w:type="dxa"/>
            <w:vAlign w:val="bottom"/>
            <w:tcBorders>
              <w:bottom w:val="single" w:sz="8" w:color="CCEDFF"/>
            </w:tcBorders>
            <w:shd w:val="clear" w:color="auto" w:fill="CCEDFF"/>
          </w:tcPr>
          <w:p>
            <w:pPr>
              <w:spacing w:after="0"/>
              <w:rPr>
                <w:sz w:val="16"/>
                <w:szCs w:val="16"/>
                <w:color w:val="auto"/>
              </w:rPr>
            </w:pPr>
          </w:p>
        </w:tc>
        <w:tc>
          <w:tcPr>
            <w:tcW w:w="160" w:type="dxa"/>
            <w:vAlign w:val="bottom"/>
            <w:tcBorders>
              <w:bottom w:val="single" w:sz="8" w:color="auto"/>
            </w:tcBorders>
            <w:shd w:val="clear" w:color="auto" w:fill="CCEDFF"/>
          </w:tcPr>
          <w:p>
            <w:pPr>
              <w:spacing w:after="0"/>
              <w:rPr>
                <w:sz w:val="16"/>
                <w:szCs w:val="16"/>
                <w:color w:val="auto"/>
              </w:rPr>
            </w:pPr>
          </w:p>
        </w:tc>
        <w:tc>
          <w:tcPr>
            <w:tcW w:w="152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10,857</w:t>
            </w:r>
          </w:p>
        </w:tc>
        <w:tc>
          <w:tcPr>
            <w:tcW w:w="120" w:type="dxa"/>
            <w:vAlign w:val="bottom"/>
            <w:tcBorders>
              <w:bottom w:val="single" w:sz="8" w:color="CCEDFF"/>
            </w:tcBorders>
            <w:shd w:val="clear" w:color="auto" w:fill="CCEDFF"/>
          </w:tcPr>
          <w:p>
            <w:pPr>
              <w:spacing w:after="0"/>
              <w:rPr>
                <w:sz w:val="16"/>
                <w:szCs w:val="16"/>
                <w:color w:val="auto"/>
              </w:rPr>
            </w:pPr>
          </w:p>
        </w:tc>
        <w:tc>
          <w:tcPr>
            <w:tcW w:w="260" w:type="dxa"/>
            <w:vAlign w:val="bottom"/>
            <w:tcBorders>
              <w:bottom w:val="single" w:sz="8" w:color="auto"/>
            </w:tcBorders>
            <w:shd w:val="clear" w:color="auto" w:fill="CCEDFF"/>
          </w:tcPr>
          <w:p>
            <w:pPr>
              <w:spacing w:after="0"/>
              <w:rPr>
                <w:sz w:val="16"/>
                <w:szCs w:val="16"/>
                <w:color w:val="auto"/>
              </w:rPr>
            </w:pPr>
          </w:p>
        </w:tc>
        <w:tc>
          <w:tcPr>
            <w:tcW w:w="1460" w:type="dxa"/>
            <w:vAlign w:val="bottom"/>
            <w:tcBorders>
              <w:bottom w:val="single" w:sz="8" w:color="auto"/>
            </w:tcBorders>
            <w:shd w:val="clear" w:color="auto" w:fill="CCEDFF"/>
          </w:tcPr>
          <w:p>
            <w:pPr>
              <w:jc w:val="right"/>
              <w:ind w:right="59"/>
              <w:spacing w:after="0"/>
              <w:rPr>
                <w:sz w:val="20"/>
                <w:szCs w:val="20"/>
                <w:color w:val="auto"/>
              </w:rPr>
            </w:pPr>
            <w:r>
              <w:rPr>
                <w:rFonts w:ascii="Arial" w:cs="Arial" w:eastAsia="Arial" w:hAnsi="Arial"/>
                <w:sz w:val="16"/>
                <w:szCs w:val="16"/>
                <w:color w:val="auto"/>
              </w:rPr>
              <w:t>8,673</w:t>
            </w:r>
          </w:p>
        </w:tc>
      </w:tr>
      <w:tr>
        <w:trPr>
          <w:trHeight w:val="183"/>
        </w:trPr>
        <w:tc>
          <w:tcPr>
            <w:tcW w:w="5780" w:type="dxa"/>
            <w:vAlign w:val="bottom"/>
            <w:tcBorders>
              <w:bottom w:val="single" w:sz="8" w:color="auto"/>
            </w:tcBorders>
          </w:tcPr>
          <w:p>
            <w:pPr>
              <w:ind w:left="120"/>
              <w:spacing w:after="0" w:line="183" w:lineRule="exact"/>
              <w:rPr>
                <w:sz w:val="20"/>
                <w:szCs w:val="20"/>
                <w:color w:val="auto"/>
              </w:rPr>
            </w:pPr>
            <w:r>
              <w:rPr>
                <w:rFonts w:ascii="Arial" w:cs="Arial" w:eastAsia="Arial" w:hAnsi="Arial"/>
                <w:sz w:val="16"/>
                <w:szCs w:val="16"/>
                <w:color w:val="auto"/>
              </w:rPr>
              <w:t>Total noncurrent assets</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534,786</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540,260</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563,365</w:t>
            </w:r>
          </w:p>
        </w:tc>
      </w:tr>
      <w:tr>
        <w:trPr>
          <w:trHeight w:val="223"/>
        </w:trPr>
        <w:tc>
          <w:tcPr>
            <w:tcW w:w="5780" w:type="dxa"/>
            <w:vAlign w:val="bottom"/>
            <w:shd w:val="clear" w:color="auto" w:fill="CCEDFF"/>
          </w:tcPr>
          <w:p>
            <w:pPr>
              <w:ind w:left="120"/>
              <w:spacing w:after="0" w:line="183" w:lineRule="exact"/>
              <w:rPr>
                <w:sz w:val="20"/>
                <w:szCs w:val="20"/>
                <w:color w:val="auto"/>
              </w:rPr>
            </w:pPr>
            <w:r>
              <w:rPr>
                <w:rFonts w:ascii="Arial" w:cs="Arial" w:eastAsia="Arial" w:hAnsi="Arial"/>
                <w:sz w:val="16"/>
                <w:szCs w:val="16"/>
                <w:b w:val="1"/>
                <w:bCs w:val="1"/>
                <w:color w:val="auto"/>
              </w:rPr>
              <w:t>Total assets</w:t>
            </w:r>
          </w:p>
        </w:tc>
        <w:tc>
          <w:tcPr>
            <w:tcW w:w="380" w:type="dxa"/>
            <w:vAlign w:val="bottom"/>
            <w:gridSpan w:val="2"/>
            <w:shd w:val="clear" w:color="auto" w:fill="CCEDFF"/>
          </w:tcPr>
          <w:p>
            <w:pPr>
              <w:jc w:val="right"/>
              <w:ind w:right="160"/>
              <w:spacing w:after="0" w:line="183" w:lineRule="exact"/>
              <w:rPr>
                <w:sz w:val="20"/>
                <w:szCs w:val="20"/>
                <w:color w:val="auto"/>
              </w:rPr>
            </w:pPr>
            <w:r>
              <w:rPr>
                <w:rFonts w:ascii="Arial" w:cs="Arial" w:eastAsia="Arial" w:hAnsi="Arial"/>
                <w:sz w:val="16"/>
                <w:szCs w:val="16"/>
                <w:b w:val="1"/>
                <w:bCs w:val="1"/>
                <w:color w:val="auto"/>
              </w:rPr>
              <w:t>$</w:t>
            </w:r>
          </w:p>
        </w:tc>
        <w:tc>
          <w:tcPr>
            <w:tcW w:w="144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b w:val="1"/>
                <w:bCs w:val="1"/>
                <w:color w:val="auto"/>
              </w:rPr>
              <w:t>1,287,677</w:t>
            </w:r>
          </w:p>
        </w:tc>
        <w:tc>
          <w:tcPr>
            <w:tcW w:w="280" w:type="dxa"/>
            <w:vAlign w:val="bottom"/>
            <w:gridSpan w:val="2"/>
            <w:shd w:val="clear" w:color="auto" w:fill="CCEDFF"/>
          </w:tcPr>
          <w:p>
            <w:pPr>
              <w:jc w:val="right"/>
              <w:ind w:right="80"/>
              <w:spacing w:after="0" w:line="183" w:lineRule="exact"/>
              <w:rPr>
                <w:sz w:val="20"/>
                <w:szCs w:val="20"/>
                <w:color w:val="auto"/>
              </w:rPr>
            </w:pPr>
            <w:r>
              <w:rPr>
                <w:rFonts w:ascii="Arial" w:cs="Arial" w:eastAsia="Arial" w:hAnsi="Arial"/>
                <w:sz w:val="16"/>
                <w:szCs w:val="16"/>
                <w:b w:val="1"/>
                <w:bCs w:val="1"/>
                <w:color w:val="auto"/>
              </w:rPr>
              <w:t>$</w:t>
            </w:r>
          </w:p>
        </w:tc>
        <w:tc>
          <w:tcPr>
            <w:tcW w:w="152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b w:val="1"/>
                <w:bCs w:val="1"/>
                <w:color w:val="auto"/>
              </w:rPr>
              <w:t>1,268,307</w:t>
            </w:r>
          </w:p>
        </w:tc>
        <w:tc>
          <w:tcPr>
            <w:tcW w:w="380" w:type="dxa"/>
            <w:vAlign w:val="bottom"/>
            <w:gridSpan w:val="2"/>
            <w:shd w:val="clear" w:color="auto" w:fill="CCEDFF"/>
          </w:tcPr>
          <w:p>
            <w:pPr>
              <w:jc w:val="right"/>
              <w:ind w:right="160"/>
              <w:spacing w:after="0" w:line="183" w:lineRule="exact"/>
              <w:rPr>
                <w:sz w:val="20"/>
                <w:szCs w:val="20"/>
                <w:color w:val="auto"/>
              </w:rPr>
            </w:pPr>
            <w:r>
              <w:rPr>
                <w:rFonts w:ascii="Arial" w:cs="Arial" w:eastAsia="Arial" w:hAnsi="Arial"/>
                <w:sz w:val="16"/>
                <w:szCs w:val="16"/>
                <w:b w:val="1"/>
                <w:bCs w:val="1"/>
                <w:color w:val="auto"/>
              </w:rPr>
              <w:t>$</w:t>
            </w:r>
          </w:p>
        </w:tc>
        <w:tc>
          <w:tcPr>
            <w:tcW w:w="1460" w:type="dxa"/>
            <w:vAlign w:val="bottom"/>
            <w:shd w:val="clear" w:color="auto" w:fill="CCEDFF"/>
          </w:tcPr>
          <w:p>
            <w:pPr>
              <w:jc w:val="right"/>
              <w:ind w:right="59"/>
              <w:spacing w:after="0" w:line="183" w:lineRule="exact"/>
              <w:rPr>
                <w:sz w:val="20"/>
                <w:szCs w:val="20"/>
                <w:color w:val="auto"/>
              </w:rPr>
            </w:pPr>
            <w:r>
              <w:rPr>
                <w:rFonts w:ascii="Arial" w:cs="Arial" w:eastAsia="Arial" w:hAnsi="Arial"/>
                <w:sz w:val="16"/>
                <w:szCs w:val="16"/>
                <w:b w:val="1"/>
                <w:bCs w:val="1"/>
                <w:color w:val="auto"/>
              </w:rPr>
              <w:t>1,196,003</w:t>
            </w:r>
          </w:p>
        </w:tc>
      </w:tr>
      <w:tr>
        <w:trPr>
          <w:trHeight w:val="169"/>
        </w:trPr>
        <w:tc>
          <w:tcPr>
            <w:tcW w:w="5780" w:type="dxa"/>
            <w:vAlign w:val="bottom"/>
            <w:tcBorders>
              <w:top w:val="single" w:sz="8" w:color="auto"/>
            </w:tcBorders>
          </w:tcPr>
          <w:p>
            <w:pPr>
              <w:spacing w:after="0" w:line="170" w:lineRule="exact"/>
              <w:rPr>
                <w:sz w:val="20"/>
                <w:szCs w:val="20"/>
                <w:color w:val="auto"/>
              </w:rPr>
            </w:pPr>
            <w:r>
              <w:rPr>
                <w:rFonts w:ascii="Arial" w:cs="Arial" w:eastAsia="Arial" w:hAnsi="Arial"/>
                <w:sz w:val="16"/>
                <w:szCs w:val="16"/>
                <w:b w:val="1"/>
                <w:bCs w:val="1"/>
                <w:color w:val="auto"/>
              </w:rPr>
              <w:t>LIABILITIES AND STOCKHOLDERS' EQUITY</w:t>
            </w:r>
          </w:p>
        </w:tc>
        <w:tc>
          <w:tcPr>
            <w:tcW w:w="120" w:type="dxa"/>
            <w:vAlign w:val="bottom"/>
            <w:tcBorders>
              <w:top w:val="single" w:sz="8" w:color="CCEDFF"/>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120" w:type="dxa"/>
            <w:vAlign w:val="bottom"/>
            <w:tcBorders>
              <w:top w:val="single" w:sz="8" w:color="CCED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c>
          <w:tcPr>
            <w:tcW w:w="120" w:type="dxa"/>
            <w:vAlign w:val="bottom"/>
            <w:tcBorders>
              <w:top w:val="single" w:sz="8" w:color="CCEDFF"/>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r>
      <w:tr>
        <w:trPr>
          <w:trHeight w:val="189"/>
        </w:trPr>
        <w:tc>
          <w:tcPr>
            <w:tcW w:w="5780" w:type="dxa"/>
            <w:vAlign w:val="bottom"/>
            <w:shd w:val="clear" w:color="auto" w:fill="CCEDFF"/>
          </w:tcPr>
          <w:p>
            <w:pPr>
              <w:spacing w:after="0"/>
              <w:rPr>
                <w:sz w:val="20"/>
                <w:szCs w:val="20"/>
                <w:color w:val="auto"/>
              </w:rPr>
            </w:pPr>
            <w:r>
              <w:rPr>
                <w:rFonts w:ascii="Arial" w:cs="Arial" w:eastAsia="Arial" w:hAnsi="Arial"/>
                <w:sz w:val="16"/>
                <w:szCs w:val="16"/>
                <w:color w:val="auto"/>
              </w:rPr>
              <w:t>Current liabilities</w:t>
            </w:r>
          </w:p>
        </w:tc>
        <w:tc>
          <w:tcPr>
            <w:tcW w:w="120" w:type="dxa"/>
            <w:vAlign w:val="bottom"/>
            <w:shd w:val="clear" w:color="auto" w:fill="CCEDFF"/>
          </w:tcPr>
          <w:p>
            <w:pPr>
              <w:spacing w:after="0"/>
              <w:rPr>
                <w:sz w:val="16"/>
                <w:szCs w:val="16"/>
                <w:color w:val="auto"/>
              </w:rPr>
            </w:pPr>
          </w:p>
        </w:tc>
        <w:tc>
          <w:tcPr>
            <w:tcW w:w="260" w:type="dxa"/>
            <w:vAlign w:val="bottom"/>
            <w:shd w:val="clear" w:color="auto" w:fill="CCEDFF"/>
          </w:tcPr>
          <w:p>
            <w:pPr>
              <w:spacing w:after="0"/>
              <w:rPr>
                <w:sz w:val="16"/>
                <w:szCs w:val="16"/>
                <w:color w:val="auto"/>
              </w:rPr>
            </w:pPr>
          </w:p>
        </w:tc>
        <w:tc>
          <w:tcPr>
            <w:tcW w:w="1440" w:type="dxa"/>
            <w:vAlign w:val="bottom"/>
            <w:shd w:val="clear" w:color="auto" w:fill="CCEDFF"/>
          </w:tcPr>
          <w:p>
            <w:pPr>
              <w:spacing w:after="0"/>
              <w:rPr>
                <w:sz w:val="16"/>
                <w:szCs w:val="16"/>
                <w:color w:val="auto"/>
              </w:rPr>
            </w:pPr>
          </w:p>
        </w:tc>
        <w:tc>
          <w:tcPr>
            <w:tcW w:w="120" w:type="dxa"/>
            <w:vAlign w:val="bottom"/>
            <w:shd w:val="clear" w:color="auto" w:fill="CCEDFF"/>
          </w:tcPr>
          <w:p>
            <w:pPr>
              <w:spacing w:after="0"/>
              <w:rPr>
                <w:sz w:val="16"/>
                <w:szCs w:val="16"/>
                <w:color w:val="auto"/>
              </w:rPr>
            </w:pPr>
          </w:p>
        </w:tc>
        <w:tc>
          <w:tcPr>
            <w:tcW w:w="160" w:type="dxa"/>
            <w:vAlign w:val="bottom"/>
            <w:shd w:val="clear" w:color="auto" w:fill="CCEDFF"/>
          </w:tcPr>
          <w:p>
            <w:pPr>
              <w:spacing w:after="0"/>
              <w:rPr>
                <w:sz w:val="16"/>
                <w:szCs w:val="16"/>
                <w:color w:val="auto"/>
              </w:rPr>
            </w:pPr>
          </w:p>
        </w:tc>
        <w:tc>
          <w:tcPr>
            <w:tcW w:w="1520" w:type="dxa"/>
            <w:vAlign w:val="bottom"/>
            <w:shd w:val="clear" w:color="auto" w:fill="CCEDFF"/>
          </w:tcPr>
          <w:p>
            <w:pPr>
              <w:spacing w:after="0"/>
              <w:rPr>
                <w:sz w:val="16"/>
                <w:szCs w:val="16"/>
                <w:color w:val="auto"/>
              </w:rPr>
            </w:pPr>
          </w:p>
        </w:tc>
        <w:tc>
          <w:tcPr>
            <w:tcW w:w="120" w:type="dxa"/>
            <w:vAlign w:val="bottom"/>
            <w:shd w:val="clear" w:color="auto" w:fill="CCEDFF"/>
          </w:tcPr>
          <w:p>
            <w:pPr>
              <w:spacing w:after="0"/>
              <w:rPr>
                <w:sz w:val="16"/>
                <w:szCs w:val="16"/>
                <w:color w:val="auto"/>
              </w:rPr>
            </w:pPr>
          </w:p>
        </w:tc>
        <w:tc>
          <w:tcPr>
            <w:tcW w:w="260" w:type="dxa"/>
            <w:vAlign w:val="bottom"/>
            <w:shd w:val="clear" w:color="auto" w:fill="CCEDFF"/>
          </w:tcPr>
          <w:p>
            <w:pPr>
              <w:spacing w:after="0"/>
              <w:rPr>
                <w:sz w:val="16"/>
                <w:szCs w:val="16"/>
                <w:color w:val="auto"/>
              </w:rPr>
            </w:pPr>
          </w:p>
        </w:tc>
        <w:tc>
          <w:tcPr>
            <w:tcW w:w="1460" w:type="dxa"/>
            <w:vAlign w:val="bottom"/>
            <w:shd w:val="clear" w:color="auto" w:fill="CCEDFF"/>
          </w:tcPr>
          <w:p>
            <w:pPr>
              <w:spacing w:after="0"/>
              <w:rPr>
                <w:sz w:val="16"/>
                <w:szCs w:val="16"/>
                <w:color w:val="auto"/>
              </w:rPr>
            </w:pPr>
          </w:p>
        </w:tc>
      </w:tr>
      <w:tr>
        <w:trPr>
          <w:trHeight w:val="189"/>
        </w:trPr>
        <w:tc>
          <w:tcPr>
            <w:tcW w:w="5780" w:type="dxa"/>
            <w:vAlign w:val="bottom"/>
          </w:tcPr>
          <w:p>
            <w:pPr>
              <w:ind w:left="60"/>
              <w:spacing w:after="0"/>
              <w:rPr>
                <w:sz w:val="20"/>
                <w:szCs w:val="20"/>
                <w:color w:val="auto"/>
              </w:rPr>
            </w:pPr>
            <w:r>
              <w:rPr>
                <w:rFonts w:ascii="Arial" w:cs="Arial" w:eastAsia="Arial" w:hAnsi="Arial"/>
                <w:sz w:val="16"/>
                <w:szCs w:val="16"/>
                <w:color w:val="auto"/>
              </w:rPr>
              <w:t>Accounts payable</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74,888</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60,711</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76,391</w:t>
            </w:r>
          </w:p>
        </w:tc>
      </w:tr>
      <w:tr>
        <w:trPr>
          <w:trHeight w:val="189"/>
        </w:trPr>
        <w:tc>
          <w:tcPr>
            <w:tcW w:w="5780" w:type="dxa"/>
            <w:vAlign w:val="bottom"/>
            <w:shd w:val="clear" w:color="auto" w:fill="CCEDFF"/>
          </w:tcPr>
          <w:p>
            <w:pPr>
              <w:ind w:left="60"/>
              <w:spacing w:after="0"/>
              <w:rPr>
                <w:sz w:val="20"/>
                <w:szCs w:val="20"/>
                <w:color w:val="auto"/>
              </w:rPr>
            </w:pPr>
            <w:r>
              <w:rPr>
                <w:rFonts w:ascii="Arial" w:cs="Arial" w:eastAsia="Arial" w:hAnsi="Arial"/>
                <w:sz w:val="16"/>
                <w:szCs w:val="16"/>
                <w:color w:val="auto"/>
              </w:rPr>
              <w:t>Accrued expenses</w:t>
            </w:r>
          </w:p>
        </w:tc>
        <w:tc>
          <w:tcPr>
            <w:tcW w:w="120" w:type="dxa"/>
            <w:vAlign w:val="bottom"/>
            <w:shd w:val="clear" w:color="auto" w:fill="CCEDFF"/>
          </w:tcPr>
          <w:p>
            <w:pPr>
              <w:spacing w:after="0"/>
              <w:rPr>
                <w:sz w:val="16"/>
                <w:szCs w:val="16"/>
                <w:color w:val="auto"/>
              </w:rPr>
            </w:pPr>
          </w:p>
        </w:tc>
        <w:tc>
          <w:tcPr>
            <w:tcW w:w="260" w:type="dxa"/>
            <w:vAlign w:val="bottom"/>
            <w:shd w:val="clear" w:color="auto" w:fill="CCEDFF"/>
          </w:tcPr>
          <w:p>
            <w:pPr>
              <w:spacing w:after="0"/>
              <w:rPr>
                <w:sz w:val="16"/>
                <w:szCs w:val="16"/>
                <w:color w:val="auto"/>
              </w:rPr>
            </w:pPr>
          </w:p>
        </w:tc>
        <w:tc>
          <w:tcPr>
            <w:tcW w:w="144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35,232</w:t>
            </w:r>
          </w:p>
        </w:tc>
        <w:tc>
          <w:tcPr>
            <w:tcW w:w="120" w:type="dxa"/>
            <w:vAlign w:val="bottom"/>
            <w:shd w:val="clear" w:color="auto" w:fill="CCEDFF"/>
          </w:tcPr>
          <w:p>
            <w:pPr>
              <w:spacing w:after="0"/>
              <w:rPr>
                <w:sz w:val="16"/>
                <w:szCs w:val="16"/>
                <w:color w:val="auto"/>
              </w:rPr>
            </w:pPr>
          </w:p>
        </w:tc>
        <w:tc>
          <w:tcPr>
            <w:tcW w:w="160" w:type="dxa"/>
            <w:vAlign w:val="bottom"/>
            <w:shd w:val="clear" w:color="auto" w:fill="CCEDFF"/>
          </w:tcPr>
          <w:p>
            <w:pPr>
              <w:spacing w:after="0"/>
              <w:rPr>
                <w:sz w:val="16"/>
                <w:szCs w:val="16"/>
                <w:color w:val="auto"/>
              </w:rPr>
            </w:pPr>
          </w:p>
        </w:tc>
        <w:tc>
          <w:tcPr>
            <w:tcW w:w="152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49,148</w:t>
            </w:r>
          </w:p>
        </w:tc>
        <w:tc>
          <w:tcPr>
            <w:tcW w:w="120" w:type="dxa"/>
            <w:vAlign w:val="bottom"/>
            <w:shd w:val="clear" w:color="auto" w:fill="CCEDFF"/>
          </w:tcPr>
          <w:p>
            <w:pPr>
              <w:spacing w:after="0"/>
              <w:rPr>
                <w:sz w:val="16"/>
                <w:szCs w:val="16"/>
                <w:color w:val="auto"/>
              </w:rPr>
            </w:pPr>
          </w:p>
        </w:tc>
        <w:tc>
          <w:tcPr>
            <w:tcW w:w="260" w:type="dxa"/>
            <w:vAlign w:val="bottom"/>
            <w:shd w:val="clear" w:color="auto" w:fill="CCEDFF"/>
          </w:tcPr>
          <w:p>
            <w:pPr>
              <w:spacing w:after="0"/>
              <w:rPr>
                <w:sz w:val="16"/>
                <w:szCs w:val="16"/>
                <w:color w:val="auto"/>
              </w:rPr>
            </w:pPr>
          </w:p>
        </w:tc>
        <w:tc>
          <w:tcPr>
            <w:tcW w:w="1460" w:type="dxa"/>
            <w:vAlign w:val="bottom"/>
            <w:shd w:val="clear" w:color="auto" w:fill="CCEDFF"/>
          </w:tcPr>
          <w:p>
            <w:pPr>
              <w:jc w:val="right"/>
              <w:ind w:right="59"/>
              <w:spacing w:after="0"/>
              <w:rPr>
                <w:sz w:val="20"/>
                <w:szCs w:val="20"/>
                <w:color w:val="auto"/>
              </w:rPr>
            </w:pPr>
            <w:r>
              <w:rPr>
                <w:rFonts w:ascii="Arial" w:cs="Arial" w:eastAsia="Arial" w:hAnsi="Arial"/>
                <w:sz w:val="16"/>
                <w:szCs w:val="16"/>
                <w:color w:val="auto"/>
              </w:rPr>
              <w:t>37,116</w:t>
            </w:r>
          </w:p>
        </w:tc>
      </w:tr>
      <w:tr>
        <w:trPr>
          <w:trHeight w:val="189"/>
        </w:trPr>
        <w:tc>
          <w:tcPr>
            <w:tcW w:w="5780" w:type="dxa"/>
            <w:vAlign w:val="bottom"/>
          </w:tcPr>
          <w:p>
            <w:pPr>
              <w:ind w:left="60"/>
              <w:spacing w:after="0"/>
              <w:rPr>
                <w:sz w:val="20"/>
                <w:szCs w:val="20"/>
                <w:color w:val="auto"/>
              </w:rPr>
            </w:pPr>
            <w:r>
              <w:rPr>
                <w:rFonts w:ascii="Arial" w:cs="Arial" w:eastAsia="Arial" w:hAnsi="Arial"/>
                <w:sz w:val="16"/>
                <w:szCs w:val="16"/>
                <w:color w:val="auto"/>
              </w:rPr>
              <w:t>Operating lease liabilities</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12,643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12,670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11,535</w:t>
            </w:r>
          </w:p>
        </w:tc>
      </w:tr>
      <w:tr>
        <w:trPr>
          <w:trHeight w:val="189"/>
        </w:trPr>
        <w:tc>
          <w:tcPr>
            <w:tcW w:w="5780" w:type="dxa"/>
            <w:vAlign w:val="bottom"/>
            <w:shd w:val="clear" w:color="auto" w:fill="CCEDFF"/>
          </w:tcPr>
          <w:p>
            <w:pPr>
              <w:ind w:left="60"/>
              <w:spacing w:after="0"/>
              <w:rPr>
                <w:sz w:val="20"/>
                <w:szCs w:val="20"/>
                <w:color w:val="auto"/>
              </w:rPr>
            </w:pPr>
            <w:r>
              <w:rPr>
                <w:rFonts w:ascii="Arial" w:cs="Arial" w:eastAsia="Arial" w:hAnsi="Arial"/>
                <w:sz w:val="16"/>
                <w:szCs w:val="16"/>
                <w:color w:val="auto"/>
              </w:rPr>
              <w:t>Contract liabilities</w:t>
            </w:r>
          </w:p>
        </w:tc>
        <w:tc>
          <w:tcPr>
            <w:tcW w:w="120" w:type="dxa"/>
            <w:vAlign w:val="bottom"/>
            <w:shd w:val="clear" w:color="auto" w:fill="CCEDFF"/>
          </w:tcPr>
          <w:p>
            <w:pPr>
              <w:spacing w:after="0"/>
              <w:rPr>
                <w:sz w:val="16"/>
                <w:szCs w:val="16"/>
                <w:color w:val="auto"/>
              </w:rPr>
            </w:pPr>
          </w:p>
        </w:tc>
        <w:tc>
          <w:tcPr>
            <w:tcW w:w="260" w:type="dxa"/>
            <w:vAlign w:val="bottom"/>
            <w:shd w:val="clear" w:color="auto" w:fill="CCEDFF"/>
          </w:tcPr>
          <w:p>
            <w:pPr>
              <w:spacing w:after="0"/>
              <w:rPr>
                <w:sz w:val="16"/>
                <w:szCs w:val="16"/>
                <w:color w:val="auto"/>
              </w:rPr>
            </w:pPr>
          </w:p>
        </w:tc>
        <w:tc>
          <w:tcPr>
            <w:tcW w:w="144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11,144</w:t>
            </w:r>
          </w:p>
        </w:tc>
        <w:tc>
          <w:tcPr>
            <w:tcW w:w="120" w:type="dxa"/>
            <w:vAlign w:val="bottom"/>
            <w:shd w:val="clear" w:color="auto" w:fill="CCEDFF"/>
          </w:tcPr>
          <w:p>
            <w:pPr>
              <w:spacing w:after="0"/>
              <w:rPr>
                <w:sz w:val="16"/>
                <w:szCs w:val="16"/>
                <w:color w:val="auto"/>
              </w:rPr>
            </w:pPr>
          </w:p>
        </w:tc>
        <w:tc>
          <w:tcPr>
            <w:tcW w:w="160" w:type="dxa"/>
            <w:vAlign w:val="bottom"/>
            <w:shd w:val="clear" w:color="auto" w:fill="CCEDFF"/>
          </w:tcPr>
          <w:p>
            <w:pPr>
              <w:spacing w:after="0"/>
              <w:rPr>
                <w:sz w:val="16"/>
                <w:szCs w:val="16"/>
                <w:color w:val="auto"/>
              </w:rPr>
            </w:pPr>
          </w:p>
        </w:tc>
        <w:tc>
          <w:tcPr>
            <w:tcW w:w="152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11,986</w:t>
            </w:r>
          </w:p>
        </w:tc>
        <w:tc>
          <w:tcPr>
            <w:tcW w:w="120" w:type="dxa"/>
            <w:vAlign w:val="bottom"/>
            <w:shd w:val="clear" w:color="auto" w:fill="CCEDFF"/>
          </w:tcPr>
          <w:p>
            <w:pPr>
              <w:spacing w:after="0"/>
              <w:rPr>
                <w:sz w:val="16"/>
                <w:szCs w:val="16"/>
                <w:color w:val="auto"/>
              </w:rPr>
            </w:pPr>
          </w:p>
        </w:tc>
        <w:tc>
          <w:tcPr>
            <w:tcW w:w="260" w:type="dxa"/>
            <w:vAlign w:val="bottom"/>
            <w:shd w:val="clear" w:color="auto" w:fill="CCEDFF"/>
          </w:tcPr>
          <w:p>
            <w:pPr>
              <w:spacing w:after="0"/>
              <w:rPr>
                <w:sz w:val="16"/>
                <w:szCs w:val="16"/>
                <w:color w:val="auto"/>
              </w:rPr>
            </w:pPr>
          </w:p>
        </w:tc>
        <w:tc>
          <w:tcPr>
            <w:tcW w:w="1460" w:type="dxa"/>
            <w:vAlign w:val="bottom"/>
            <w:shd w:val="clear" w:color="auto" w:fill="CCEDFF"/>
          </w:tcPr>
          <w:p>
            <w:pPr>
              <w:jc w:val="right"/>
              <w:ind w:right="59"/>
              <w:spacing w:after="0"/>
              <w:rPr>
                <w:sz w:val="20"/>
                <w:szCs w:val="20"/>
                <w:color w:val="auto"/>
              </w:rPr>
            </w:pPr>
            <w:r>
              <w:rPr>
                <w:rFonts w:ascii="Arial" w:cs="Arial" w:eastAsia="Arial" w:hAnsi="Arial"/>
                <w:sz w:val="16"/>
                <w:szCs w:val="16"/>
                <w:color w:val="auto"/>
              </w:rPr>
              <w:t>11,128</w:t>
            </w:r>
          </w:p>
        </w:tc>
      </w:tr>
      <w:tr>
        <w:trPr>
          <w:trHeight w:val="189"/>
        </w:trPr>
        <w:tc>
          <w:tcPr>
            <w:tcW w:w="5780" w:type="dxa"/>
            <w:vAlign w:val="bottom"/>
          </w:tcPr>
          <w:p>
            <w:pPr>
              <w:ind w:left="60"/>
              <w:spacing w:after="0"/>
              <w:rPr>
                <w:sz w:val="20"/>
                <w:szCs w:val="20"/>
                <w:color w:val="auto"/>
              </w:rPr>
            </w:pPr>
            <w:r>
              <w:rPr>
                <w:rFonts w:ascii="Arial" w:cs="Arial" w:eastAsia="Arial" w:hAnsi="Arial"/>
                <w:sz w:val="16"/>
                <w:szCs w:val="16"/>
                <w:color w:val="auto"/>
              </w:rPr>
              <w:t>Other current liabilities</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7,685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6,940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4,093</w:t>
            </w:r>
          </w:p>
        </w:tc>
      </w:tr>
      <w:tr>
        <w:trPr>
          <w:trHeight w:val="189"/>
        </w:trPr>
        <w:tc>
          <w:tcPr>
            <w:tcW w:w="5780" w:type="dxa"/>
            <w:vAlign w:val="bottom"/>
            <w:tcBorders>
              <w:bottom w:val="single" w:sz="8" w:color="auto"/>
            </w:tcBorders>
            <w:shd w:val="clear" w:color="auto" w:fill="CCEDFF"/>
          </w:tcPr>
          <w:p>
            <w:pPr>
              <w:ind w:left="60"/>
              <w:spacing w:after="0"/>
              <w:rPr>
                <w:sz w:val="20"/>
                <w:szCs w:val="20"/>
                <w:color w:val="auto"/>
              </w:rPr>
            </w:pPr>
            <w:r>
              <w:rPr>
                <w:rFonts w:ascii="Arial" w:cs="Arial" w:eastAsia="Arial" w:hAnsi="Arial"/>
                <w:sz w:val="16"/>
                <w:szCs w:val="16"/>
                <w:color w:val="auto"/>
              </w:rPr>
              <w:t>Current portion of long-term debt and finance lease obligations</w:t>
            </w:r>
          </w:p>
        </w:tc>
        <w:tc>
          <w:tcPr>
            <w:tcW w:w="120" w:type="dxa"/>
            <w:vAlign w:val="bottom"/>
            <w:tcBorders>
              <w:bottom w:val="single" w:sz="8" w:color="CCEDFF"/>
            </w:tcBorders>
            <w:shd w:val="clear" w:color="auto" w:fill="CCEDFF"/>
          </w:tcPr>
          <w:p>
            <w:pPr>
              <w:spacing w:after="0"/>
              <w:rPr>
                <w:sz w:val="16"/>
                <w:szCs w:val="16"/>
                <w:color w:val="auto"/>
              </w:rPr>
            </w:pPr>
          </w:p>
        </w:tc>
        <w:tc>
          <w:tcPr>
            <w:tcW w:w="260" w:type="dxa"/>
            <w:vAlign w:val="bottom"/>
            <w:tcBorders>
              <w:bottom w:val="single" w:sz="8" w:color="auto"/>
            </w:tcBorders>
            <w:shd w:val="clear" w:color="auto" w:fill="CCEDFF"/>
          </w:tcPr>
          <w:p>
            <w:pPr>
              <w:spacing w:after="0"/>
              <w:rPr>
                <w:sz w:val="16"/>
                <w:szCs w:val="16"/>
                <w:color w:val="auto"/>
              </w:rPr>
            </w:pPr>
          </w:p>
        </w:tc>
        <w:tc>
          <w:tcPr>
            <w:tcW w:w="144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6,170</w:t>
            </w:r>
          </w:p>
        </w:tc>
        <w:tc>
          <w:tcPr>
            <w:tcW w:w="120" w:type="dxa"/>
            <w:vAlign w:val="bottom"/>
            <w:tcBorders>
              <w:bottom w:val="single" w:sz="8" w:color="CCEDFF"/>
            </w:tcBorders>
            <w:shd w:val="clear" w:color="auto" w:fill="CCEDFF"/>
          </w:tcPr>
          <w:p>
            <w:pPr>
              <w:spacing w:after="0"/>
              <w:rPr>
                <w:sz w:val="16"/>
                <w:szCs w:val="16"/>
                <w:color w:val="auto"/>
              </w:rPr>
            </w:pPr>
          </w:p>
        </w:tc>
        <w:tc>
          <w:tcPr>
            <w:tcW w:w="160" w:type="dxa"/>
            <w:vAlign w:val="bottom"/>
            <w:tcBorders>
              <w:bottom w:val="single" w:sz="8" w:color="auto"/>
            </w:tcBorders>
            <w:shd w:val="clear" w:color="auto" w:fill="CCEDFF"/>
          </w:tcPr>
          <w:p>
            <w:pPr>
              <w:spacing w:after="0"/>
              <w:rPr>
                <w:sz w:val="16"/>
                <w:szCs w:val="16"/>
                <w:color w:val="auto"/>
              </w:rPr>
            </w:pPr>
          </w:p>
        </w:tc>
        <w:tc>
          <w:tcPr>
            <w:tcW w:w="152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6,709</w:t>
            </w:r>
          </w:p>
        </w:tc>
        <w:tc>
          <w:tcPr>
            <w:tcW w:w="120" w:type="dxa"/>
            <w:vAlign w:val="bottom"/>
            <w:tcBorders>
              <w:bottom w:val="single" w:sz="8" w:color="CCEDFF"/>
            </w:tcBorders>
            <w:shd w:val="clear" w:color="auto" w:fill="CCEDFF"/>
          </w:tcPr>
          <w:p>
            <w:pPr>
              <w:spacing w:after="0"/>
              <w:rPr>
                <w:sz w:val="16"/>
                <w:szCs w:val="16"/>
                <w:color w:val="auto"/>
              </w:rPr>
            </w:pPr>
          </w:p>
        </w:tc>
        <w:tc>
          <w:tcPr>
            <w:tcW w:w="260" w:type="dxa"/>
            <w:vAlign w:val="bottom"/>
            <w:tcBorders>
              <w:bottom w:val="single" w:sz="8" w:color="auto"/>
            </w:tcBorders>
            <w:shd w:val="clear" w:color="auto" w:fill="CCEDFF"/>
          </w:tcPr>
          <w:p>
            <w:pPr>
              <w:spacing w:after="0"/>
              <w:rPr>
                <w:sz w:val="16"/>
                <w:szCs w:val="16"/>
                <w:color w:val="auto"/>
              </w:rPr>
            </w:pPr>
          </w:p>
        </w:tc>
        <w:tc>
          <w:tcPr>
            <w:tcW w:w="1460" w:type="dxa"/>
            <w:vAlign w:val="bottom"/>
            <w:tcBorders>
              <w:bottom w:val="single" w:sz="8" w:color="auto"/>
            </w:tcBorders>
            <w:shd w:val="clear" w:color="auto" w:fill="CCEDFF"/>
          </w:tcPr>
          <w:p>
            <w:pPr>
              <w:jc w:val="right"/>
              <w:ind w:right="59"/>
              <w:spacing w:after="0"/>
              <w:rPr>
                <w:sz w:val="20"/>
                <w:szCs w:val="20"/>
                <w:color w:val="auto"/>
              </w:rPr>
            </w:pPr>
            <w:r>
              <w:rPr>
                <w:rFonts w:ascii="Arial" w:cs="Arial" w:eastAsia="Arial" w:hAnsi="Arial"/>
                <w:sz w:val="16"/>
                <w:szCs w:val="16"/>
                <w:color w:val="auto"/>
              </w:rPr>
              <w:t>5,556</w:t>
            </w:r>
          </w:p>
        </w:tc>
      </w:tr>
      <w:tr>
        <w:trPr>
          <w:trHeight w:val="183"/>
        </w:trPr>
        <w:tc>
          <w:tcPr>
            <w:tcW w:w="5780" w:type="dxa"/>
            <w:vAlign w:val="bottom"/>
          </w:tcPr>
          <w:p>
            <w:pPr>
              <w:ind w:left="120"/>
              <w:spacing w:after="0" w:line="183" w:lineRule="exact"/>
              <w:rPr>
                <w:sz w:val="20"/>
                <w:szCs w:val="20"/>
                <w:color w:val="auto"/>
              </w:rPr>
            </w:pPr>
            <w:r>
              <w:rPr>
                <w:rFonts w:ascii="Arial" w:cs="Arial" w:eastAsia="Arial" w:hAnsi="Arial"/>
                <w:sz w:val="16"/>
                <w:szCs w:val="16"/>
                <w:color w:val="auto"/>
              </w:rPr>
              <w:t>Total current liabilities</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jc w:val="right"/>
              <w:ind w:right="39"/>
              <w:spacing w:after="0" w:line="183" w:lineRule="exact"/>
              <w:rPr>
                <w:sz w:val="20"/>
                <w:szCs w:val="20"/>
                <w:color w:val="auto"/>
              </w:rPr>
            </w:pPr>
            <w:r>
              <w:rPr>
                <w:rFonts w:ascii="Arial" w:cs="Arial" w:eastAsia="Arial" w:hAnsi="Arial"/>
                <w:sz w:val="16"/>
                <w:szCs w:val="16"/>
                <w:color w:val="auto"/>
              </w:rPr>
              <w:t>147,762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jc w:val="right"/>
              <w:ind w:right="39"/>
              <w:spacing w:after="0" w:line="183" w:lineRule="exact"/>
              <w:rPr>
                <w:sz w:val="20"/>
                <w:szCs w:val="20"/>
                <w:color w:val="auto"/>
              </w:rPr>
            </w:pPr>
            <w:r>
              <w:rPr>
                <w:rFonts w:ascii="Arial" w:cs="Arial" w:eastAsia="Arial" w:hAnsi="Arial"/>
                <w:sz w:val="16"/>
                <w:szCs w:val="16"/>
                <w:color w:val="auto"/>
              </w:rPr>
              <w:t>148,164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jc w:val="right"/>
              <w:ind w:right="59"/>
              <w:spacing w:after="0" w:line="183" w:lineRule="exact"/>
              <w:rPr>
                <w:sz w:val="20"/>
                <w:szCs w:val="20"/>
                <w:color w:val="auto"/>
              </w:rPr>
            </w:pPr>
            <w:r>
              <w:rPr>
                <w:rFonts w:ascii="Arial" w:cs="Arial" w:eastAsia="Arial" w:hAnsi="Arial"/>
                <w:sz w:val="16"/>
                <w:szCs w:val="16"/>
                <w:color w:val="auto"/>
              </w:rPr>
              <w:t>145,819</w:t>
            </w:r>
          </w:p>
        </w:tc>
      </w:tr>
      <w:tr>
        <w:trPr>
          <w:trHeight w:val="189"/>
        </w:trPr>
        <w:tc>
          <w:tcPr>
            <w:tcW w:w="5780" w:type="dxa"/>
            <w:vAlign w:val="bottom"/>
            <w:shd w:val="clear" w:color="auto" w:fill="CCEDFF"/>
          </w:tcPr>
          <w:p>
            <w:pPr>
              <w:spacing w:after="0"/>
              <w:rPr>
                <w:sz w:val="20"/>
                <w:szCs w:val="20"/>
                <w:color w:val="auto"/>
              </w:rPr>
            </w:pPr>
            <w:r>
              <w:rPr>
                <w:rFonts w:ascii="Arial" w:cs="Arial" w:eastAsia="Arial" w:hAnsi="Arial"/>
                <w:sz w:val="16"/>
                <w:szCs w:val="16"/>
                <w:color w:val="auto"/>
              </w:rPr>
              <w:t>Noncurrent liabilities</w:t>
            </w:r>
          </w:p>
        </w:tc>
        <w:tc>
          <w:tcPr>
            <w:tcW w:w="120" w:type="dxa"/>
            <w:vAlign w:val="bottom"/>
            <w:shd w:val="clear" w:color="auto" w:fill="CCEDFF"/>
          </w:tcPr>
          <w:p>
            <w:pPr>
              <w:spacing w:after="0"/>
              <w:rPr>
                <w:sz w:val="16"/>
                <w:szCs w:val="16"/>
                <w:color w:val="auto"/>
              </w:rPr>
            </w:pPr>
          </w:p>
        </w:tc>
        <w:tc>
          <w:tcPr>
            <w:tcW w:w="260" w:type="dxa"/>
            <w:vAlign w:val="bottom"/>
            <w:shd w:val="clear" w:color="auto" w:fill="CCEDFF"/>
          </w:tcPr>
          <w:p>
            <w:pPr>
              <w:spacing w:after="0"/>
              <w:rPr>
                <w:sz w:val="16"/>
                <w:szCs w:val="16"/>
                <w:color w:val="auto"/>
              </w:rPr>
            </w:pPr>
          </w:p>
        </w:tc>
        <w:tc>
          <w:tcPr>
            <w:tcW w:w="1440" w:type="dxa"/>
            <w:vAlign w:val="bottom"/>
            <w:shd w:val="clear" w:color="auto" w:fill="CCEDFF"/>
          </w:tcPr>
          <w:p>
            <w:pPr>
              <w:spacing w:after="0"/>
              <w:rPr>
                <w:sz w:val="16"/>
                <w:szCs w:val="16"/>
                <w:color w:val="auto"/>
              </w:rPr>
            </w:pPr>
          </w:p>
        </w:tc>
        <w:tc>
          <w:tcPr>
            <w:tcW w:w="120" w:type="dxa"/>
            <w:vAlign w:val="bottom"/>
            <w:shd w:val="clear" w:color="auto" w:fill="CCEDFF"/>
          </w:tcPr>
          <w:p>
            <w:pPr>
              <w:spacing w:after="0"/>
              <w:rPr>
                <w:sz w:val="16"/>
                <w:szCs w:val="16"/>
                <w:color w:val="auto"/>
              </w:rPr>
            </w:pPr>
          </w:p>
        </w:tc>
        <w:tc>
          <w:tcPr>
            <w:tcW w:w="160" w:type="dxa"/>
            <w:vAlign w:val="bottom"/>
            <w:shd w:val="clear" w:color="auto" w:fill="CCEDFF"/>
          </w:tcPr>
          <w:p>
            <w:pPr>
              <w:spacing w:after="0"/>
              <w:rPr>
                <w:sz w:val="16"/>
                <w:szCs w:val="16"/>
                <w:color w:val="auto"/>
              </w:rPr>
            </w:pPr>
          </w:p>
        </w:tc>
        <w:tc>
          <w:tcPr>
            <w:tcW w:w="1520" w:type="dxa"/>
            <w:vAlign w:val="bottom"/>
            <w:shd w:val="clear" w:color="auto" w:fill="CCEDFF"/>
          </w:tcPr>
          <w:p>
            <w:pPr>
              <w:spacing w:after="0"/>
              <w:rPr>
                <w:sz w:val="16"/>
                <w:szCs w:val="16"/>
                <w:color w:val="auto"/>
              </w:rPr>
            </w:pPr>
          </w:p>
        </w:tc>
        <w:tc>
          <w:tcPr>
            <w:tcW w:w="120" w:type="dxa"/>
            <w:vAlign w:val="bottom"/>
            <w:shd w:val="clear" w:color="auto" w:fill="CCEDFF"/>
          </w:tcPr>
          <w:p>
            <w:pPr>
              <w:spacing w:after="0"/>
              <w:rPr>
                <w:sz w:val="16"/>
                <w:szCs w:val="16"/>
                <w:color w:val="auto"/>
              </w:rPr>
            </w:pPr>
          </w:p>
        </w:tc>
        <w:tc>
          <w:tcPr>
            <w:tcW w:w="260" w:type="dxa"/>
            <w:vAlign w:val="bottom"/>
            <w:shd w:val="clear" w:color="auto" w:fill="CCEDFF"/>
          </w:tcPr>
          <w:p>
            <w:pPr>
              <w:spacing w:after="0"/>
              <w:rPr>
                <w:sz w:val="16"/>
                <w:szCs w:val="16"/>
                <w:color w:val="auto"/>
              </w:rPr>
            </w:pPr>
          </w:p>
        </w:tc>
        <w:tc>
          <w:tcPr>
            <w:tcW w:w="1460" w:type="dxa"/>
            <w:vAlign w:val="bottom"/>
            <w:shd w:val="clear" w:color="auto" w:fill="CCEDFF"/>
          </w:tcPr>
          <w:p>
            <w:pPr>
              <w:spacing w:after="0"/>
              <w:rPr>
                <w:sz w:val="16"/>
                <w:szCs w:val="16"/>
                <w:color w:val="auto"/>
              </w:rPr>
            </w:pPr>
          </w:p>
        </w:tc>
      </w:tr>
      <w:tr>
        <w:trPr>
          <w:trHeight w:val="189"/>
        </w:trPr>
        <w:tc>
          <w:tcPr>
            <w:tcW w:w="5780" w:type="dxa"/>
            <w:vAlign w:val="bottom"/>
          </w:tcPr>
          <w:p>
            <w:pPr>
              <w:ind w:left="60"/>
              <w:spacing w:after="0"/>
              <w:rPr>
                <w:sz w:val="20"/>
                <w:szCs w:val="20"/>
                <w:color w:val="auto"/>
              </w:rPr>
            </w:pPr>
            <w:r>
              <w:rPr>
                <w:rFonts w:ascii="Arial" w:cs="Arial" w:eastAsia="Arial" w:hAnsi="Arial"/>
                <w:sz w:val="16"/>
                <w:szCs w:val="16"/>
                <w:color w:val="auto"/>
              </w:rPr>
              <w:t>Long-term debt and finance lease obligations</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18,042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18,922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19,679</w:t>
            </w:r>
          </w:p>
        </w:tc>
      </w:tr>
      <w:tr>
        <w:trPr>
          <w:trHeight w:val="189"/>
        </w:trPr>
        <w:tc>
          <w:tcPr>
            <w:tcW w:w="5780" w:type="dxa"/>
            <w:vAlign w:val="bottom"/>
            <w:shd w:val="clear" w:color="auto" w:fill="CCEDFF"/>
          </w:tcPr>
          <w:p>
            <w:pPr>
              <w:ind w:left="60"/>
              <w:spacing w:after="0"/>
              <w:rPr>
                <w:sz w:val="20"/>
                <w:szCs w:val="20"/>
                <w:color w:val="auto"/>
              </w:rPr>
            </w:pPr>
            <w:r>
              <w:rPr>
                <w:rFonts w:ascii="Arial" w:cs="Arial" w:eastAsia="Arial" w:hAnsi="Arial"/>
                <w:sz w:val="16"/>
                <w:szCs w:val="16"/>
                <w:color w:val="auto"/>
              </w:rPr>
              <w:t>Operating lease liabilities</w:t>
            </w:r>
          </w:p>
        </w:tc>
        <w:tc>
          <w:tcPr>
            <w:tcW w:w="120" w:type="dxa"/>
            <w:vAlign w:val="bottom"/>
            <w:shd w:val="clear" w:color="auto" w:fill="CCEDFF"/>
          </w:tcPr>
          <w:p>
            <w:pPr>
              <w:spacing w:after="0"/>
              <w:rPr>
                <w:sz w:val="16"/>
                <w:szCs w:val="16"/>
                <w:color w:val="auto"/>
              </w:rPr>
            </w:pPr>
          </w:p>
        </w:tc>
        <w:tc>
          <w:tcPr>
            <w:tcW w:w="260" w:type="dxa"/>
            <w:vAlign w:val="bottom"/>
            <w:shd w:val="clear" w:color="auto" w:fill="CCEDFF"/>
          </w:tcPr>
          <w:p>
            <w:pPr>
              <w:spacing w:after="0"/>
              <w:rPr>
                <w:sz w:val="16"/>
                <w:szCs w:val="16"/>
                <w:color w:val="auto"/>
              </w:rPr>
            </w:pPr>
          </w:p>
        </w:tc>
        <w:tc>
          <w:tcPr>
            <w:tcW w:w="144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39,349</w:t>
            </w:r>
          </w:p>
        </w:tc>
        <w:tc>
          <w:tcPr>
            <w:tcW w:w="120" w:type="dxa"/>
            <w:vAlign w:val="bottom"/>
            <w:shd w:val="clear" w:color="auto" w:fill="CCEDFF"/>
          </w:tcPr>
          <w:p>
            <w:pPr>
              <w:spacing w:after="0"/>
              <w:rPr>
                <w:sz w:val="16"/>
                <w:szCs w:val="16"/>
                <w:color w:val="auto"/>
              </w:rPr>
            </w:pPr>
          </w:p>
        </w:tc>
        <w:tc>
          <w:tcPr>
            <w:tcW w:w="160" w:type="dxa"/>
            <w:vAlign w:val="bottom"/>
            <w:shd w:val="clear" w:color="auto" w:fill="CCEDFF"/>
          </w:tcPr>
          <w:p>
            <w:pPr>
              <w:spacing w:after="0"/>
              <w:rPr>
                <w:sz w:val="16"/>
                <w:szCs w:val="16"/>
                <w:color w:val="auto"/>
              </w:rPr>
            </w:pPr>
          </w:p>
        </w:tc>
        <w:tc>
          <w:tcPr>
            <w:tcW w:w="152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40,986</w:t>
            </w:r>
          </w:p>
        </w:tc>
        <w:tc>
          <w:tcPr>
            <w:tcW w:w="120" w:type="dxa"/>
            <w:vAlign w:val="bottom"/>
            <w:shd w:val="clear" w:color="auto" w:fill="CCEDFF"/>
          </w:tcPr>
          <w:p>
            <w:pPr>
              <w:spacing w:after="0"/>
              <w:rPr>
                <w:sz w:val="16"/>
                <w:szCs w:val="16"/>
                <w:color w:val="auto"/>
              </w:rPr>
            </w:pPr>
          </w:p>
        </w:tc>
        <w:tc>
          <w:tcPr>
            <w:tcW w:w="260" w:type="dxa"/>
            <w:vAlign w:val="bottom"/>
            <w:shd w:val="clear" w:color="auto" w:fill="CCEDFF"/>
          </w:tcPr>
          <w:p>
            <w:pPr>
              <w:spacing w:after="0"/>
              <w:rPr>
                <w:sz w:val="16"/>
                <w:szCs w:val="16"/>
                <w:color w:val="auto"/>
              </w:rPr>
            </w:pPr>
          </w:p>
        </w:tc>
        <w:tc>
          <w:tcPr>
            <w:tcW w:w="1460" w:type="dxa"/>
            <w:vAlign w:val="bottom"/>
            <w:shd w:val="clear" w:color="auto" w:fill="CCEDFF"/>
          </w:tcPr>
          <w:p>
            <w:pPr>
              <w:jc w:val="right"/>
              <w:ind w:right="59"/>
              <w:spacing w:after="0"/>
              <w:rPr>
                <w:sz w:val="20"/>
                <w:szCs w:val="20"/>
                <w:color w:val="auto"/>
              </w:rPr>
            </w:pPr>
            <w:r>
              <w:rPr>
                <w:rFonts w:ascii="Arial" w:cs="Arial" w:eastAsia="Arial" w:hAnsi="Arial"/>
                <w:sz w:val="16"/>
                <w:szCs w:val="16"/>
                <w:color w:val="auto"/>
              </w:rPr>
              <w:t>45,962</w:t>
            </w:r>
          </w:p>
        </w:tc>
      </w:tr>
      <w:tr>
        <w:trPr>
          <w:trHeight w:val="189"/>
        </w:trPr>
        <w:tc>
          <w:tcPr>
            <w:tcW w:w="5780" w:type="dxa"/>
            <w:vAlign w:val="bottom"/>
          </w:tcPr>
          <w:p>
            <w:pPr>
              <w:ind w:left="60"/>
              <w:spacing w:after="0"/>
              <w:rPr>
                <w:sz w:val="20"/>
                <w:szCs w:val="20"/>
                <w:color w:val="auto"/>
              </w:rPr>
            </w:pPr>
            <w:r>
              <w:rPr>
                <w:rFonts w:ascii="Arial" w:cs="Arial" w:eastAsia="Arial" w:hAnsi="Arial"/>
                <w:sz w:val="16"/>
                <w:szCs w:val="16"/>
                <w:color w:val="auto"/>
              </w:rPr>
              <w:t>Legal settlement accrual</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48,803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189"/>
        </w:trPr>
        <w:tc>
          <w:tcPr>
            <w:tcW w:w="5780" w:type="dxa"/>
            <w:vAlign w:val="bottom"/>
            <w:tcBorders>
              <w:bottom w:val="single" w:sz="8" w:color="auto"/>
            </w:tcBorders>
            <w:shd w:val="clear" w:color="auto" w:fill="CCEDFF"/>
          </w:tcPr>
          <w:p>
            <w:pPr>
              <w:ind w:left="60"/>
              <w:spacing w:after="0"/>
              <w:rPr>
                <w:sz w:val="20"/>
                <w:szCs w:val="20"/>
                <w:color w:val="auto"/>
              </w:rPr>
            </w:pPr>
            <w:r>
              <w:rPr>
                <w:rFonts w:ascii="Arial" w:cs="Arial" w:eastAsia="Arial" w:hAnsi="Arial"/>
                <w:sz w:val="16"/>
                <w:szCs w:val="16"/>
                <w:color w:val="auto"/>
              </w:rPr>
              <w:t>Other long-term liabilities</w:t>
            </w:r>
          </w:p>
        </w:tc>
        <w:tc>
          <w:tcPr>
            <w:tcW w:w="120" w:type="dxa"/>
            <w:vAlign w:val="bottom"/>
            <w:tcBorders>
              <w:bottom w:val="single" w:sz="8" w:color="CCEDFF"/>
            </w:tcBorders>
            <w:shd w:val="clear" w:color="auto" w:fill="CCEDFF"/>
          </w:tcPr>
          <w:p>
            <w:pPr>
              <w:spacing w:after="0"/>
              <w:rPr>
                <w:sz w:val="16"/>
                <w:szCs w:val="16"/>
                <w:color w:val="auto"/>
              </w:rPr>
            </w:pPr>
          </w:p>
        </w:tc>
        <w:tc>
          <w:tcPr>
            <w:tcW w:w="260" w:type="dxa"/>
            <w:vAlign w:val="bottom"/>
            <w:tcBorders>
              <w:bottom w:val="single" w:sz="8" w:color="auto"/>
            </w:tcBorders>
            <w:shd w:val="clear" w:color="auto" w:fill="CCEDFF"/>
          </w:tcPr>
          <w:p>
            <w:pPr>
              <w:spacing w:after="0"/>
              <w:rPr>
                <w:sz w:val="16"/>
                <w:szCs w:val="16"/>
                <w:color w:val="auto"/>
              </w:rPr>
            </w:pPr>
          </w:p>
        </w:tc>
        <w:tc>
          <w:tcPr>
            <w:tcW w:w="144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2,816</w:t>
            </w:r>
          </w:p>
        </w:tc>
        <w:tc>
          <w:tcPr>
            <w:tcW w:w="120" w:type="dxa"/>
            <w:vAlign w:val="bottom"/>
            <w:tcBorders>
              <w:bottom w:val="single" w:sz="8" w:color="CCEDFF"/>
            </w:tcBorders>
            <w:shd w:val="clear" w:color="auto" w:fill="CCEDFF"/>
          </w:tcPr>
          <w:p>
            <w:pPr>
              <w:spacing w:after="0"/>
              <w:rPr>
                <w:sz w:val="16"/>
                <w:szCs w:val="16"/>
                <w:color w:val="auto"/>
              </w:rPr>
            </w:pPr>
          </w:p>
        </w:tc>
        <w:tc>
          <w:tcPr>
            <w:tcW w:w="160" w:type="dxa"/>
            <w:vAlign w:val="bottom"/>
            <w:tcBorders>
              <w:bottom w:val="single" w:sz="8" w:color="auto"/>
            </w:tcBorders>
            <w:shd w:val="clear" w:color="auto" w:fill="CCEDFF"/>
          </w:tcPr>
          <w:p>
            <w:pPr>
              <w:spacing w:after="0"/>
              <w:rPr>
                <w:sz w:val="16"/>
                <w:szCs w:val="16"/>
                <w:color w:val="auto"/>
              </w:rPr>
            </w:pPr>
          </w:p>
        </w:tc>
        <w:tc>
          <w:tcPr>
            <w:tcW w:w="152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2,536</w:t>
            </w:r>
          </w:p>
        </w:tc>
        <w:tc>
          <w:tcPr>
            <w:tcW w:w="120" w:type="dxa"/>
            <w:vAlign w:val="bottom"/>
            <w:tcBorders>
              <w:bottom w:val="single" w:sz="8" w:color="CCEDFF"/>
            </w:tcBorders>
            <w:shd w:val="clear" w:color="auto" w:fill="CCEDFF"/>
          </w:tcPr>
          <w:p>
            <w:pPr>
              <w:spacing w:after="0"/>
              <w:rPr>
                <w:sz w:val="16"/>
                <w:szCs w:val="16"/>
                <w:color w:val="auto"/>
              </w:rPr>
            </w:pPr>
          </w:p>
        </w:tc>
        <w:tc>
          <w:tcPr>
            <w:tcW w:w="260" w:type="dxa"/>
            <w:vAlign w:val="bottom"/>
            <w:tcBorders>
              <w:bottom w:val="single" w:sz="8" w:color="auto"/>
            </w:tcBorders>
            <w:shd w:val="clear" w:color="auto" w:fill="CCEDFF"/>
          </w:tcPr>
          <w:p>
            <w:pPr>
              <w:spacing w:after="0"/>
              <w:rPr>
                <w:sz w:val="16"/>
                <w:szCs w:val="16"/>
                <w:color w:val="auto"/>
              </w:rPr>
            </w:pPr>
          </w:p>
        </w:tc>
        <w:tc>
          <w:tcPr>
            <w:tcW w:w="1460" w:type="dxa"/>
            <w:vAlign w:val="bottom"/>
            <w:tcBorders>
              <w:bottom w:val="single" w:sz="8" w:color="auto"/>
            </w:tcBorders>
            <w:shd w:val="clear" w:color="auto" w:fill="CCEDFF"/>
          </w:tcPr>
          <w:p>
            <w:pPr>
              <w:jc w:val="right"/>
              <w:ind w:right="59"/>
              <w:spacing w:after="0"/>
              <w:rPr>
                <w:sz w:val="20"/>
                <w:szCs w:val="20"/>
                <w:color w:val="auto"/>
              </w:rPr>
            </w:pPr>
            <w:r>
              <w:rPr>
                <w:rFonts w:ascii="Arial" w:cs="Arial" w:eastAsia="Arial" w:hAnsi="Arial"/>
                <w:sz w:val="16"/>
                <w:szCs w:val="16"/>
                <w:color w:val="auto"/>
              </w:rPr>
              <w:t>6,167</w:t>
            </w:r>
          </w:p>
        </w:tc>
      </w:tr>
      <w:tr>
        <w:trPr>
          <w:trHeight w:val="182"/>
        </w:trPr>
        <w:tc>
          <w:tcPr>
            <w:tcW w:w="5780" w:type="dxa"/>
            <w:vAlign w:val="bottom"/>
            <w:tcBorders>
              <w:bottom w:val="single" w:sz="8" w:color="auto"/>
            </w:tcBorders>
          </w:tcPr>
          <w:p>
            <w:pPr>
              <w:ind w:left="120"/>
              <w:spacing w:after="0" w:line="183" w:lineRule="exact"/>
              <w:rPr>
                <w:sz w:val="20"/>
                <w:szCs w:val="20"/>
                <w:color w:val="auto"/>
              </w:rPr>
            </w:pPr>
            <w:r>
              <w:rPr>
                <w:rFonts w:ascii="Arial" w:cs="Arial" w:eastAsia="Arial" w:hAnsi="Arial"/>
                <w:sz w:val="16"/>
                <w:szCs w:val="16"/>
                <w:color w:val="auto"/>
              </w:rPr>
              <w:t>Total noncurrent liabilities</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109,010</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62,444</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71,808</w:t>
            </w:r>
          </w:p>
        </w:tc>
      </w:tr>
      <w:tr>
        <w:trPr>
          <w:trHeight w:val="183"/>
        </w:trPr>
        <w:tc>
          <w:tcPr>
            <w:tcW w:w="5780" w:type="dxa"/>
            <w:vAlign w:val="bottom"/>
            <w:tcBorders>
              <w:bottom w:val="single" w:sz="8" w:color="auto"/>
            </w:tcBorders>
            <w:shd w:val="clear" w:color="auto" w:fill="CCEDFF"/>
          </w:tcPr>
          <w:p>
            <w:pPr>
              <w:ind w:left="120"/>
              <w:spacing w:after="0" w:line="183" w:lineRule="exact"/>
              <w:rPr>
                <w:sz w:val="20"/>
                <w:szCs w:val="20"/>
                <w:color w:val="auto"/>
              </w:rPr>
            </w:pPr>
            <w:r>
              <w:rPr>
                <w:rFonts w:ascii="Arial" w:cs="Arial" w:eastAsia="Arial" w:hAnsi="Arial"/>
                <w:sz w:val="16"/>
                <w:szCs w:val="16"/>
                <w:color w:val="auto"/>
              </w:rPr>
              <w:t>Total liabilities</w:t>
            </w:r>
          </w:p>
        </w:tc>
        <w:tc>
          <w:tcPr>
            <w:tcW w:w="120" w:type="dxa"/>
            <w:vAlign w:val="bottom"/>
            <w:tcBorders>
              <w:bottom w:val="single" w:sz="8" w:color="CCEDFF"/>
            </w:tcBorders>
            <w:shd w:val="clear" w:color="auto" w:fill="CCEDFF"/>
          </w:tcPr>
          <w:p>
            <w:pPr>
              <w:spacing w:after="0"/>
              <w:rPr>
                <w:sz w:val="15"/>
                <w:szCs w:val="15"/>
                <w:color w:val="auto"/>
              </w:rPr>
            </w:pPr>
          </w:p>
        </w:tc>
        <w:tc>
          <w:tcPr>
            <w:tcW w:w="260" w:type="dxa"/>
            <w:vAlign w:val="bottom"/>
            <w:tcBorders>
              <w:bottom w:val="single" w:sz="8" w:color="auto"/>
            </w:tcBorders>
            <w:shd w:val="clear" w:color="auto" w:fill="CCEDFF"/>
          </w:tcPr>
          <w:p>
            <w:pPr>
              <w:spacing w:after="0"/>
              <w:rPr>
                <w:sz w:val="15"/>
                <w:szCs w:val="15"/>
                <w:color w:val="auto"/>
              </w:rPr>
            </w:pPr>
          </w:p>
        </w:tc>
        <w:tc>
          <w:tcPr>
            <w:tcW w:w="1440" w:type="dxa"/>
            <w:vAlign w:val="bottom"/>
            <w:tcBorders>
              <w:bottom w:val="single" w:sz="8" w:color="auto"/>
            </w:tcBorders>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256,772</w:t>
            </w:r>
          </w:p>
        </w:tc>
        <w:tc>
          <w:tcPr>
            <w:tcW w:w="120" w:type="dxa"/>
            <w:vAlign w:val="bottom"/>
            <w:tcBorders>
              <w:bottom w:val="single" w:sz="8" w:color="CCEDFF"/>
            </w:tcBorders>
            <w:shd w:val="clear" w:color="auto" w:fill="CCEDFF"/>
          </w:tcPr>
          <w:p>
            <w:pPr>
              <w:spacing w:after="0"/>
              <w:rPr>
                <w:sz w:val="15"/>
                <w:szCs w:val="15"/>
                <w:color w:val="auto"/>
              </w:rPr>
            </w:pPr>
          </w:p>
        </w:tc>
        <w:tc>
          <w:tcPr>
            <w:tcW w:w="160" w:type="dxa"/>
            <w:vAlign w:val="bottom"/>
            <w:tcBorders>
              <w:bottom w:val="single" w:sz="8" w:color="auto"/>
            </w:tcBorders>
            <w:shd w:val="clear" w:color="auto" w:fill="CCEDFF"/>
          </w:tcPr>
          <w:p>
            <w:pPr>
              <w:spacing w:after="0"/>
              <w:rPr>
                <w:sz w:val="15"/>
                <w:szCs w:val="15"/>
                <w:color w:val="auto"/>
              </w:rPr>
            </w:pPr>
          </w:p>
        </w:tc>
        <w:tc>
          <w:tcPr>
            <w:tcW w:w="1520" w:type="dxa"/>
            <w:vAlign w:val="bottom"/>
            <w:tcBorders>
              <w:bottom w:val="single" w:sz="8" w:color="auto"/>
            </w:tcBorders>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210,608</w:t>
            </w:r>
          </w:p>
        </w:tc>
        <w:tc>
          <w:tcPr>
            <w:tcW w:w="120" w:type="dxa"/>
            <w:vAlign w:val="bottom"/>
            <w:tcBorders>
              <w:bottom w:val="single" w:sz="8" w:color="CCEDFF"/>
            </w:tcBorders>
            <w:shd w:val="clear" w:color="auto" w:fill="CCEDFF"/>
          </w:tcPr>
          <w:p>
            <w:pPr>
              <w:spacing w:after="0"/>
              <w:rPr>
                <w:sz w:val="15"/>
                <w:szCs w:val="15"/>
                <w:color w:val="auto"/>
              </w:rPr>
            </w:pPr>
          </w:p>
        </w:tc>
        <w:tc>
          <w:tcPr>
            <w:tcW w:w="260" w:type="dxa"/>
            <w:vAlign w:val="bottom"/>
            <w:tcBorders>
              <w:bottom w:val="single" w:sz="8" w:color="auto"/>
            </w:tcBorders>
            <w:shd w:val="clear" w:color="auto" w:fill="CCEDFF"/>
          </w:tcPr>
          <w:p>
            <w:pPr>
              <w:spacing w:after="0"/>
              <w:rPr>
                <w:sz w:val="15"/>
                <w:szCs w:val="15"/>
                <w:color w:val="auto"/>
              </w:rPr>
            </w:pPr>
          </w:p>
        </w:tc>
        <w:tc>
          <w:tcPr>
            <w:tcW w:w="1460" w:type="dxa"/>
            <w:vAlign w:val="bottom"/>
            <w:tcBorders>
              <w:bottom w:val="single" w:sz="8" w:color="auto"/>
            </w:tcBorders>
            <w:shd w:val="clear" w:color="auto" w:fill="CCEDFF"/>
          </w:tcPr>
          <w:p>
            <w:pPr>
              <w:jc w:val="right"/>
              <w:ind w:right="59"/>
              <w:spacing w:after="0" w:line="183" w:lineRule="exact"/>
              <w:rPr>
                <w:sz w:val="20"/>
                <w:szCs w:val="20"/>
                <w:color w:val="auto"/>
              </w:rPr>
            </w:pPr>
            <w:r>
              <w:rPr>
                <w:rFonts w:ascii="Arial" w:cs="Arial" w:eastAsia="Arial" w:hAnsi="Arial"/>
                <w:sz w:val="16"/>
                <w:szCs w:val="16"/>
                <w:color w:val="auto"/>
              </w:rPr>
              <w:t>217,627</w:t>
            </w:r>
          </w:p>
        </w:tc>
      </w:tr>
      <w:tr>
        <w:trPr>
          <w:trHeight w:val="183"/>
        </w:trPr>
        <w:tc>
          <w:tcPr>
            <w:tcW w:w="5780" w:type="dxa"/>
            <w:vAlign w:val="bottom"/>
            <w:tcBorders>
              <w:bottom w:val="single" w:sz="8" w:color="auto"/>
            </w:tcBorders>
          </w:tcPr>
          <w:p>
            <w:pPr>
              <w:ind w:left="120"/>
              <w:spacing w:after="0" w:line="183" w:lineRule="exact"/>
              <w:rPr>
                <w:sz w:val="20"/>
                <w:szCs w:val="20"/>
                <w:color w:val="auto"/>
              </w:rPr>
            </w:pPr>
            <w:r>
              <w:rPr>
                <w:rFonts w:ascii="Arial" w:cs="Arial" w:eastAsia="Arial" w:hAnsi="Arial"/>
                <w:sz w:val="16"/>
                <w:szCs w:val="16"/>
                <w:color w:val="auto"/>
              </w:rPr>
              <w:t>Total stockholders’ equity</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1,030,905</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1,057,699</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978,376</w:t>
            </w:r>
          </w:p>
        </w:tc>
      </w:tr>
      <w:tr>
        <w:trPr>
          <w:trHeight w:val="223"/>
        </w:trPr>
        <w:tc>
          <w:tcPr>
            <w:tcW w:w="5780" w:type="dxa"/>
            <w:vAlign w:val="bottom"/>
            <w:shd w:val="clear" w:color="auto" w:fill="CCEDFF"/>
          </w:tcPr>
          <w:p>
            <w:pPr>
              <w:ind w:left="120"/>
              <w:spacing w:after="0" w:line="183" w:lineRule="exact"/>
              <w:rPr>
                <w:sz w:val="20"/>
                <w:szCs w:val="20"/>
                <w:color w:val="auto"/>
              </w:rPr>
            </w:pPr>
            <w:r>
              <w:rPr>
                <w:rFonts w:ascii="Arial" w:cs="Arial" w:eastAsia="Arial" w:hAnsi="Arial"/>
                <w:sz w:val="16"/>
                <w:szCs w:val="16"/>
                <w:b w:val="1"/>
                <w:bCs w:val="1"/>
                <w:color w:val="auto"/>
              </w:rPr>
              <w:t>Total liabilities and stockholders’ equity</w:t>
            </w:r>
          </w:p>
        </w:tc>
        <w:tc>
          <w:tcPr>
            <w:tcW w:w="380" w:type="dxa"/>
            <w:vAlign w:val="bottom"/>
            <w:gridSpan w:val="2"/>
            <w:shd w:val="clear" w:color="auto" w:fill="CCEDFF"/>
          </w:tcPr>
          <w:p>
            <w:pPr>
              <w:jc w:val="right"/>
              <w:ind w:right="160"/>
              <w:spacing w:after="0" w:line="183" w:lineRule="exact"/>
              <w:rPr>
                <w:sz w:val="20"/>
                <w:szCs w:val="20"/>
                <w:color w:val="auto"/>
              </w:rPr>
            </w:pPr>
            <w:r>
              <w:rPr>
                <w:rFonts w:ascii="Arial" w:cs="Arial" w:eastAsia="Arial" w:hAnsi="Arial"/>
                <w:sz w:val="16"/>
                <w:szCs w:val="16"/>
                <w:b w:val="1"/>
                <w:bCs w:val="1"/>
                <w:color w:val="auto"/>
              </w:rPr>
              <w:t>$</w:t>
            </w:r>
          </w:p>
        </w:tc>
        <w:tc>
          <w:tcPr>
            <w:tcW w:w="144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b w:val="1"/>
                <w:bCs w:val="1"/>
                <w:color w:val="auto"/>
              </w:rPr>
              <w:t>1,287,677</w:t>
            </w:r>
          </w:p>
        </w:tc>
        <w:tc>
          <w:tcPr>
            <w:tcW w:w="280" w:type="dxa"/>
            <w:vAlign w:val="bottom"/>
            <w:gridSpan w:val="2"/>
            <w:shd w:val="clear" w:color="auto" w:fill="CCEDFF"/>
          </w:tcPr>
          <w:p>
            <w:pPr>
              <w:jc w:val="right"/>
              <w:ind w:right="80"/>
              <w:spacing w:after="0" w:line="183" w:lineRule="exact"/>
              <w:rPr>
                <w:sz w:val="20"/>
                <w:szCs w:val="20"/>
                <w:color w:val="auto"/>
              </w:rPr>
            </w:pPr>
            <w:r>
              <w:rPr>
                <w:rFonts w:ascii="Arial" w:cs="Arial" w:eastAsia="Arial" w:hAnsi="Arial"/>
                <w:sz w:val="16"/>
                <w:szCs w:val="16"/>
                <w:b w:val="1"/>
                <w:bCs w:val="1"/>
                <w:color w:val="auto"/>
              </w:rPr>
              <w:t>$</w:t>
            </w:r>
          </w:p>
        </w:tc>
        <w:tc>
          <w:tcPr>
            <w:tcW w:w="152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b w:val="1"/>
                <w:bCs w:val="1"/>
                <w:color w:val="auto"/>
              </w:rPr>
              <w:t>1,268,307</w:t>
            </w:r>
          </w:p>
        </w:tc>
        <w:tc>
          <w:tcPr>
            <w:tcW w:w="380" w:type="dxa"/>
            <w:vAlign w:val="bottom"/>
            <w:gridSpan w:val="2"/>
            <w:shd w:val="clear" w:color="auto" w:fill="CCEDFF"/>
          </w:tcPr>
          <w:p>
            <w:pPr>
              <w:jc w:val="right"/>
              <w:ind w:right="160"/>
              <w:spacing w:after="0" w:line="183" w:lineRule="exact"/>
              <w:rPr>
                <w:sz w:val="20"/>
                <w:szCs w:val="20"/>
                <w:color w:val="auto"/>
              </w:rPr>
            </w:pPr>
            <w:r>
              <w:rPr>
                <w:rFonts w:ascii="Arial" w:cs="Arial" w:eastAsia="Arial" w:hAnsi="Arial"/>
                <w:sz w:val="16"/>
                <w:szCs w:val="16"/>
                <w:b w:val="1"/>
                <w:bCs w:val="1"/>
                <w:color w:val="auto"/>
              </w:rPr>
              <w:t>$</w:t>
            </w:r>
          </w:p>
        </w:tc>
        <w:tc>
          <w:tcPr>
            <w:tcW w:w="1460" w:type="dxa"/>
            <w:vAlign w:val="bottom"/>
            <w:shd w:val="clear" w:color="auto" w:fill="CCEDFF"/>
          </w:tcPr>
          <w:p>
            <w:pPr>
              <w:jc w:val="right"/>
              <w:ind w:right="59"/>
              <w:spacing w:after="0" w:line="183" w:lineRule="exact"/>
              <w:rPr>
                <w:sz w:val="20"/>
                <w:szCs w:val="20"/>
                <w:color w:val="auto"/>
              </w:rPr>
            </w:pPr>
            <w:r>
              <w:rPr>
                <w:rFonts w:ascii="Arial" w:cs="Arial" w:eastAsia="Arial" w:hAnsi="Arial"/>
                <w:sz w:val="16"/>
                <w:szCs w:val="16"/>
                <w:b w:val="1"/>
                <w:bCs w:val="1"/>
                <w:color w:val="auto"/>
              </w:rPr>
              <w:t>1,196,003</w:t>
            </w:r>
          </w:p>
        </w:tc>
      </w:tr>
      <w:tr>
        <w:trPr>
          <w:trHeight w:val="960"/>
        </w:trPr>
        <w:tc>
          <w:tcPr>
            <w:tcW w:w="578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CCEDFF"/>
              <w:bottom w:val="single" w:sz="8" w:color="9A9A9A"/>
            </w:tcBorders>
          </w:tcPr>
          <w:p>
            <w:pPr>
              <w:spacing w:after="0"/>
              <w:rPr>
                <w:sz w:val="24"/>
                <w:szCs w:val="24"/>
                <w:color w:val="auto"/>
              </w:rPr>
            </w:pPr>
          </w:p>
        </w:tc>
        <w:tc>
          <w:tcPr>
            <w:tcW w:w="260" w:type="dxa"/>
            <w:vAlign w:val="bottom"/>
            <w:tcBorders>
              <w:top w:val="single" w:sz="8" w:color="auto"/>
              <w:bottom w:val="single" w:sz="8" w:color="9A9A9A"/>
            </w:tcBorders>
          </w:tcPr>
          <w:p>
            <w:pPr>
              <w:spacing w:after="0"/>
              <w:rPr>
                <w:sz w:val="24"/>
                <w:szCs w:val="24"/>
                <w:color w:val="auto"/>
              </w:rPr>
            </w:pPr>
          </w:p>
        </w:tc>
        <w:tc>
          <w:tcPr>
            <w:tcW w:w="144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CCEDFF"/>
              <w:bottom w:val="single" w:sz="8" w:color="9A9A9A"/>
            </w:tcBorders>
          </w:tcPr>
          <w:p>
            <w:pPr>
              <w:spacing w:after="0"/>
              <w:rPr>
                <w:sz w:val="24"/>
                <w:szCs w:val="24"/>
                <w:color w:val="auto"/>
              </w:rPr>
            </w:pPr>
          </w:p>
        </w:tc>
        <w:tc>
          <w:tcPr>
            <w:tcW w:w="160" w:type="dxa"/>
            <w:vAlign w:val="bottom"/>
            <w:tcBorders>
              <w:top w:val="single" w:sz="8" w:color="auto"/>
              <w:bottom w:val="single" w:sz="8" w:color="9A9A9A"/>
            </w:tcBorders>
          </w:tcPr>
          <w:p>
            <w:pPr>
              <w:spacing w:after="0"/>
              <w:rPr>
                <w:sz w:val="24"/>
                <w:szCs w:val="24"/>
                <w:color w:val="auto"/>
              </w:rPr>
            </w:pPr>
          </w:p>
        </w:tc>
        <w:tc>
          <w:tcPr>
            <w:tcW w:w="152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CCEDFF"/>
              <w:bottom w:val="single" w:sz="8" w:color="9A9A9A"/>
            </w:tcBorders>
          </w:tcPr>
          <w:p>
            <w:pPr>
              <w:spacing w:after="0"/>
              <w:rPr>
                <w:sz w:val="24"/>
                <w:szCs w:val="24"/>
                <w:color w:val="auto"/>
              </w:rPr>
            </w:pPr>
          </w:p>
        </w:tc>
        <w:tc>
          <w:tcPr>
            <w:tcW w:w="260" w:type="dxa"/>
            <w:vAlign w:val="bottom"/>
            <w:tcBorders>
              <w:top w:val="single" w:sz="8" w:color="auto"/>
              <w:bottom w:val="single" w:sz="8" w:color="9A9A9A"/>
            </w:tcBorders>
          </w:tcPr>
          <w:p>
            <w:pPr>
              <w:spacing w:after="0"/>
              <w:rPr>
                <w:sz w:val="24"/>
                <w:szCs w:val="24"/>
                <w:color w:val="auto"/>
              </w:rPr>
            </w:pPr>
          </w:p>
        </w:tc>
        <w:tc>
          <w:tcPr>
            <w:tcW w:w="1460" w:type="dxa"/>
            <w:vAlign w:val="bottom"/>
            <w:tcBorders>
              <w:top w:val="single" w:sz="8" w:color="auto"/>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-3145155</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-3145155</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-3145155</wp:posOffset>
            </wp:positionV>
            <wp:extent cx="768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-2887980</wp:posOffset>
            </wp:positionV>
            <wp:extent cx="77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-2870835</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-2887980</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-2870835</wp:posOffset>
            </wp:positionV>
            <wp:extent cx="768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-2887980</wp:posOffset>
            </wp:positionV>
            <wp:extent cx="76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-2870835</wp:posOffset>
            </wp:positionV>
            <wp:extent cx="768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-1902460</wp:posOffset>
            </wp:positionV>
            <wp:extent cx="77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-1902460</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-1902460</wp:posOffset>
            </wp:positionV>
            <wp:extent cx="768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-1173480</wp:posOffset>
            </wp:positionV>
            <wp:extent cx="77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-1173480</wp:posOffset>
            </wp:positionV>
            <wp:extent cx="768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-1173480</wp:posOffset>
            </wp:positionV>
            <wp:extent cx="76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-916940</wp:posOffset>
            </wp:positionV>
            <wp:extent cx="774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-916940</wp:posOffset>
            </wp:positionV>
            <wp:extent cx="768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-916940</wp:posOffset>
            </wp:positionV>
            <wp:extent cx="768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-659765</wp:posOffset>
            </wp:positionV>
            <wp:extent cx="774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-642620</wp:posOffset>
            </wp:positionV>
            <wp:extent cx="774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-659765</wp:posOffset>
            </wp:positionV>
            <wp:extent cx="768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-642620</wp:posOffset>
            </wp:positionV>
            <wp:extent cx="768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-659765</wp:posOffset>
            </wp:positionV>
            <wp:extent cx="7683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-642620</wp:posOffset>
            </wp:positionV>
            <wp:extent cx="7683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ectPr>
          <w:pgSz w:w="11900" w:h="16838" w:orient="portrait"/>
          <w:cols w:equalWidth="0" w:num="1">
            <w:col w:w="11240"/>
          </w:cols>
          <w:pgMar w:left="320" w:top="1236"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5420360</wp:posOffset>
            </wp:positionH>
            <wp:positionV relativeFrom="page">
              <wp:posOffset>252095</wp:posOffset>
            </wp:positionV>
            <wp:extent cx="1920240" cy="4114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1920240" cy="411480"/>
                    </a:xfrm>
                    <a:prstGeom prst="rect">
                      <a:avLst/>
                    </a:prstGeom>
                    <a:noFill/>
                  </pic:spPr>
                </pic:pic>
              </a:graphicData>
            </a:graphic>
          </wp:anchor>
        </w:drawing>
        <w:t>Innovex International, Inc.</w:t>
      </w:r>
    </w:p>
    <w:p>
      <w:pPr>
        <w:jc w:val="center"/>
        <w:spacing w:after="0" w:line="231" w:lineRule="auto"/>
        <w:rPr>
          <w:sz w:val="20"/>
          <w:szCs w:val="20"/>
          <w:color w:val="auto"/>
        </w:rPr>
      </w:pPr>
      <w:r>
        <w:rPr>
          <w:rFonts w:ascii="Arial" w:cs="Arial" w:eastAsia="Arial" w:hAnsi="Arial"/>
          <w:sz w:val="20"/>
          <w:szCs w:val="20"/>
          <w:b w:val="1"/>
          <w:bCs w:val="1"/>
          <w:color w:val="auto"/>
        </w:rPr>
        <w:t>Condensed Consolidated Statements of Cash Flows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r>
      <w:tr>
        <w:trPr>
          <w:trHeight w:val="168"/>
        </w:trPr>
        <w:tc>
          <w:tcPr>
            <w:tcW w:w="5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jc w:val="right"/>
              <w:ind w:right="459"/>
              <w:spacing w:after="0" w:line="168" w:lineRule="exact"/>
              <w:rPr>
                <w:sz w:val="20"/>
                <w:szCs w:val="20"/>
                <w:color w:val="auto"/>
              </w:rPr>
            </w:pPr>
            <w:r>
              <w:rPr>
                <w:rFonts w:ascii="Arial" w:cs="Arial" w:eastAsia="Arial" w:hAnsi="Arial"/>
                <w:sz w:val="16"/>
                <w:szCs w:val="16"/>
                <w:b w:val="1"/>
                <w:bCs w:val="1"/>
                <w:color w:val="auto"/>
              </w:rPr>
              <w:t>March 31,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jc w:val="right"/>
              <w:ind w:right="299"/>
              <w:spacing w:after="0" w:line="168" w:lineRule="exact"/>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right"/>
              <w:ind w:right="479"/>
              <w:spacing w:after="0" w:line="168" w:lineRule="exact"/>
              <w:rPr>
                <w:sz w:val="20"/>
                <w:szCs w:val="20"/>
                <w:color w:val="auto"/>
              </w:rPr>
            </w:pPr>
            <w:r>
              <w:rPr>
                <w:rFonts w:ascii="Arial" w:cs="Arial" w:eastAsia="Arial" w:hAnsi="Arial"/>
                <w:sz w:val="16"/>
                <w:szCs w:val="16"/>
                <w:b w:val="1"/>
                <w:bCs w:val="1"/>
                <w:color w:val="auto"/>
              </w:rPr>
              <w:t>March 31,</w:t>
            </w:r>
          </w:p>
        </w:tc>
      </w:tr>
      <w:tr>
        <w:trPr>
          <w:trHeight w:val="203"/>
        </w:trPr>
        <w:tc>
          <w:tcPr>
            <w:tcW w:w="578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2026</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2025</w:t>
            </w:r>
          </w:p>
        </w:tc>
      </w:tr>
      <w:tr>
        <w:trPr>
          <w:trHeight w:val="183"/>
        </w:trPr>
        <w:tc>
          <w:tcPr>
            <w:tcW w:w="5780" w:type="dxa"/>
            <w:vAlign w:val="bottom"/>
            <w:shd w:val="clear" w:color="auto" w:fill="CCEDFF"/>
          </w:tcPr>
          <w:p>
            <w:pPr>
              <w:spacing w:after="0" w:line="183" w:lineRule="exact"/>
              <w:rPr>
                <w:sz w:val="20"/>
                <w:szCs w:val="20"/>
                <w:color w:val="auto"/>
              </w:rPr>
            </w:pPr>
            <w:r>
              <w:rPr>
                <w:rFonts w:ascii="Arial" w:cs="Arial" w:eastAsia="Arial" w:hAnsi="Arial"/>
                <w:sz w:val="16"/>
                <w:szCs w:val="16"/>
                <w:b w:val="1"/>
                <w:bCs w:val="1"/>
                <w:color w:val="auto"/>
              </w:rPr>
              <w:t>Cash flows from operating activities</w:t>
            </w:r>
          </w:p>
        </w:tc>
        <w:tc>
          <w:tcPr>
            <w:tcW w:w="120" w:type="dxa"/>
            <w:vAlign w:val="bottom"/>
            <w:shd w:val="clear" w:color="auto" w:fill="CCEDFF"/>
          </w:tcPr>
          <w:p>
            <w:pPr>
              <w:spacing w:after="0"/>
              <w:rPr>
                <w:sz w:val="15"/>
                <w:szCs w:val="15"/>
                <w:color w:val="auto"/>
              </w:rPr>
            </w:pPr>
          </w:p>
        </w:tc>
        <w:tc>
          <w:tcPr>
            <w:tcW w:w="260" w:type="dxa"/>
            <w:vAlign w:val="bottom"/>
            <w:shd w:val="clear" w:color="auto" w:fill="CCEDFF"/>
          </w:tcPr>
          <w:p>
            <w:pPr>
              <w:spacing w:after="0"/>
              <w:rPr>
                <w:sz w:val="15"/>
                <w:szCs w:val="15"/>
                <w:color w:val="auto"/>
              </w:rPr>
            </w:pPr>
          </w:p>
        </w:tc>
        <w:tc>
          <w:tcPr>
            <w:tcW w:w="1440" w:type="dxa"/>
            <w:vAlign w:val="bottom"/>
            <w:shd w:val="clear" w:color="auto" w:fill="CCEDFF"/>
          </w:tcPr>
          <w:p>
            <w:pPr>
              <w:spacing w:after="0"/>
              <w:rPr>
                <w:sz w:val="15"/>
                <w:szCs w:val="15"/>
                <w:color w:val="auto"/>
              </w:rPr>
            </w:pPr>
          </w:p>
        </w:tc>
        <w:tc>
          <w:tcPr>
            <w:tcW w:w="120" w:type="dxa"/>
            <w:vAlign w:val="bottom"/>
            <w:shd w:val="clear" w:color="auto" w:fill="CCEDFF"/>
          </w:tcPr>
          <w:p>
            <w:pPr>
              <w:spacing w:after="0"/>
              <w:rPr>
                <w:sz w:val="15"/>
                <w:szCs w:val="15"/>
                <w:color w:val="auto"/>
              </w:rPr>
            </w:pPr>
          </w:p>
        </w:tc>
        <w:tc>
          <w:tcPr>
            <w:tcW w:w="160" w:type="dxa"/>
            <w:vAlign w:val="bottom"/>
            <w:shd w:val="clear" w:color="auto" w:fill="CCEDFF"/>
          </w:tcPr>
          <w:p>
            <w:pPr>
              <w:spacing w:after="0"/>
              <w:rPr>
                <w:sz w:val="15"/>
                <w:szCs w:val="15"/>
                <w:color w:val="auto"/>
              </w:rPr>
            </w:pPr>
          </w:p>
        </w:tc>
        <w:tc>
          <w:tcPr>
            <w:tcW w:w="1520" w:type="dxa"/>
            <w:vAlign w:val="bottom"/>
            <w:shd w:val="clear" w:color="auto" w:fill="CCEDFF"/>
          </w:tcPr>
          <w:p>
            <w:pPr>
              <w:spacing w:after="0"/>
              <w:rPr>
                <w:sz w:val="15"/>
                <w:szCs w:val="15"/>
                <w:color w:val="auto"/>
              </w:rPr>
            </w:pPr>
          </w:p>
        </w:tc>
        <w:tc>
          <w:tcPr>
            <w:tcW w:w="120" w:type="dxa"/>
            <w:vAlign w:val="bottom"/>
            <w:shd w:val="clear" w:color="auto" w:fill="CCEDFF"/>
          </w:tcPr>
          <w:p>
            <w:pPr>
              <w:spacing w:after="0"/>
              <w:rPr>
                <w:sz w:val="15"/>
                <w:szCs w:val="15"/>
                <w:color w:val="auto"/>
              </w:rPr>
            </w:pPr>
          </w:p>
        </w:tc>
        <w:tc>
          <w:tcPr>
            <w:tcW w:w="260" w:type="dxa"/>
            <w:vAlign w:val="bottom"/>
            <w:shd w:val="clear" w:color="auto" w:fill="CCEDFF"/>
          </w:tcPr>
          <w:p>
            <w:pPr>
              <w:spacing w:after="0"/>
              <w:rPr>
                <w:sz w:val="15"/>
                <w:szCs w:val="15"/>
                <w:color w:val="auto"/>
              </w:rPr>
            </w:pPr>
          </w:p>
        </w:tc>
        <w:tc>
          <w:tcPr>
            <w:tcW w:w="1460" w:type="dxa"/>
            <w:vAlign w:val="bottom"/>
            <w:shd w:val="clear" w:color="auto" w:fill="CCEDFF"/>
          </w:tcPr>
          <w:p>
            <w:pPr>
              <w:spacing w:after="0"/>
              <w:rPr>
                <w:sz w:val="15"/>
                <w:szCs w:val="15"/>
                <w:color w:val="auto"/>
              </w:rPr>
            </w:pPr>
          </w:p>
        </w:tc>
      </w:tr>
      <w:tr>
        <w:trPr>
          <w:trHeight w:val="189"/>
        </w:trPr>
        <w:tc>
          <w:tcPr>
            <w:tcW w:w="5780" w:type="dxa"/>
            <w:vAlign w:val="bottom"/>
          </w:tcPr>
          <w:p>
            <w:pPr>
              <w:ind w:left="60"/>
              <w:spacing w:after="0"/>
              <w:rPr>
                <w:sz w:val="20"/>
                <w:szCs w:val="20"/>
                <w:color w:val="auto"/>
              </w:rPr>
            </w:pPr>
            <w:r>
              <w:rPr>
                <w:rFonts w:ascii="Arial" w:cs="Arial" w:eastAsia="Arial" w:hAnsi="Arial"/>
                <w:sz w:val="16"/>
                <w:szCs w:val="16"/>
                <w:color w:val="auto"/>
              </w:rPr>
              <w:t>Net Income</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(16,671)</w:t>
            </w:r>
          </w:p>
        </w:tc>
        <w:tc>
          <w:tcPr>
            <w:tcW w:w="28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13,968</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14,757</w:t>
            </w:r>
          </w:p>
        </w:tc>
      </w:tr>
      <w:tr>
        <w:trPr>
          <w:trHeight w:val="189"/>
        </w:trPr>
        <w:tc>
          <w:tcPr>
            <w:tcW w:w="5780" w:type="dxa"/>
            <w:vAlign w:val="bottom"/>
            <w:shd w:val="clear" w:color="auto" w:fill="CCEDFF"/>
          </w:tcPr>
          <w:p>
            <w:pPr>
              <w:ind w:left="6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20" w:type="dxa"/>
            <w:vAlign w:val="bottom"/>
            <w:shd w:val="clear" w:color="auto" w:fill="CCEDFF"/>
          </w:tcPr>
          <w:p>
            <w:pPr>
              <w:spacing w:after="0"/>
              <w:rPr>
                <w:sz w:val="16"/>
                <w:szCs w:val="16"/>
                <w:color w:val="auto"/>
              </w:rPr>
            </w:pPr>
          </w:p>
        </w:tc>
        <w:tc>
          <w:tcPr>
            <w:tcW w:w="260" w:type="dxa"/>
            <w:vAlign w:val="bottom"/>
            <w:shd w:val="clear" w:color="auto" w:fill="CCEDFF"/>
          </w:tcPr>
          <w:p>
            <w:pPr>
              <w:spacing w:after="0"/>
              <w:rPr>
                <w:sz w:val="16"/>
                <w:szCs w:val="16"/>
                <w:color w:val="auto"/>
              </w:rPr>
            </w:pPr>
          </w:p>
        </w:tc>
        <w:tc>
          <w:tcPr>
            <w:tcW w:w="144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73,676</w:t>
            </w:r>
          </w:p>
        </w:tc>
        <w:tc>
          <w:tcPr>
            <w:tcW w:w="120" w:type="dxa"/>
            <w:vAlign w:val="bottom"/>
            <w:shd w:val="clear" w:color="auto" w:fill="CCEDFF"/>
          </w:tcPr>
          <w:p>
            <w:pPr>
              <w:spacing w:after="0"/>
              <w:rPr>
                <w:sz w:val="16"/>
                <w:szCs w:val="16"/>
                <w:color w:val="auto"/>
              </w:rPr>
            </w:pPr>
          </w:p>
        </w:tc>
        <w:tc>
          <w:tcPr>
            <w:tcW w:w="160" w:type="dxa"/>
            <w:vAlign w:val="bottom"/>
            <w:shd w:val="clear" w:color="auto" w:fill="CCEDFF"/>
          </w:tcPr>
          <w:p>
            <w:pPr>
              <w:spacing w:after="0"/>
              <w:rPr>
                <w:sz w:val="16"/>
                <w:szCs w:val="16"/>
                <w:color w:val="auto"/>
              </w:rPr>
            </w:pPr>
          </w:p>
        </w:tc>
        <w:tc>
          <w:tcPr>
            <w:tcW w:w="152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28,065</w:t>
            </w:r>
          </w:p>
        </w:tc>
        <w:tc>
          <w:tcPr>
            <w:tcW w:w="120" w:type="dxa"/>
            <w:vAlign w:val="bottom"/>
            <w:shd w:val="clear" w:color="auto" w:fill="CCEDFF"/>
          </w:tcPr>
          <w:p>
            <w:pPr>
              <w:spacing w:after="0"/>
              <w:rPr>
                <w:sz w:val="16"/>
                <w:szCs w:val="16"/>
                <w:color w:val="auto"/>
              </w:rPr>
            </w:pPr>
          </w:p>
        </w:tc>
        <w:tc>
          <w:tcPr>
            <w:tcW w:w="260" w:type="dxa"/>
            <w:vAlign w:val="bottom"/>
            <w:shd w:val="clear" w:color="auto" w:fill="CCEDFF"/>
          </w:tcPr>
          <w:p>
            <w:pPr>
              <w:spacing w:after="0"/>
              <w:rPr>
                <w:sz w:val="16"/>
                <w:szCs w:val="16"/>
                <w:color w:val="auto"/>
              </w:rPr>
            </w:pPr>
          </w:p>
        </w:tc>
        <w:tc>
          <w:tcPr>
            <w:tcW w:w="1460" w:type="dxa"/>
            <w:vAlign w:val="bottom"/>
            <w:shd w:val="clear" w:color="auto" w:fill="CCEDFF"/>
          </w:tcPr>
          <w:p>
            <w:pPr>
              <w:jc w:val="right"/>
              <w:ind w:right="59"/>
              <w:spacing w:after="0"/>
              <w:rPr>
                <w:sz w:val="20"/>
                <w:szCs w:val="20"/>
                <w:color w:val="auto"/>
              </w:rPr>
            </w:pPr>
            <w:r>
              <w:rPr>
                <w:rFonts w:ascii="Arial" w:cs="Arial" w:eastAsia="Arial" w:hAnsi="Arial"/>
                <w:sz w:val="16"/>
                <w:szCs w:val="16"/>
                <w:color w:val="auto"/>
              </w:rPr>
              <w:t>29,045</w:t>
            </w:r>
          </w:p>
        </w:tc>
      </w:tr>
      <w:tr>
        <w:trPr>
          <w:trHeight w:val="175"/>
        </w:trPr>
        <w:tc>
          <w:tcPr>
            <w:tcW w:w="5780" w:type="dxa"/>
            <w:vAlign w:val="bottom"/>
          </w:tcPr>
          <w:p>
            <w:pPr>
              <w:ind w:left="60"/>
              <w:spacing w:after="0" w:line="175" w:lineRule="exact"/>
              <w:rPr>
                <w:sz w:val="20"/>
                <w:szCs w:val="20"/>
                <w:color w:val="auto"/>
              </w:rPr>
            </w:pPr>
            <w:r>
              <w:rPr>
                <w:rFonts w:ascii="Arial" w:cs="Arial" w:eastAsia="Arial" w:hAnsi="Arial"/>
                <w:sz w:val="16"/>
                <w:szCs w:val="16"/>
                <w:color w:val="auto"/>
              </w:rPr>
              <w:t>Changes in operating assets and liabilities, net of amounts related to</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03"/>
        </w:trPr>
        <w:tc>
          <w:tcPr>
            <w:tcW w:w="578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acquisitions</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(37,165)</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10,205</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(12,712)</w:t>
            </w:r>
          </w:p>
        </w:tc>
      </w:tr>
      <w:tr>
        <w:trPr>
          <w:trHeight w:val="183"/>
        </w:trPr>
        <w:tc>
          <w:tcPr>
            <w:tcW w:w="5780" w:type="dxa"/>
            <w:vAlign w:val="bottom"/>
            <w:shd w:val="clear" w:color="auto" w:fill="CCEDFF"/>
          </w:tcPr>
          <w:p>
            <w:pPr>
              <w:ind w:left="120"/>
              <w:spacing w:after="0" w:line="183" w:lineRule="exact"/>
              <w:rPr>
                <w:sz w:val="20"/>
                <w:szCs w:val="20"/>
                <w:color w:val="auto"/>
              </w:rPr>
            </w:pPr>
            <w:r>
              <w:rPr>
                <w:rFonts w:ascii="Arial" w:cs="Arial" w:eastAsia="Arial" w:hAnsi="Arial"/>
                <w:sz w:val="16"/>
                <w:szCs w:val="16"/>
                <w:color w:val="auto"/>
              </w:rPr>
              <w:t>Net cash provided by operating activities</w:t>
            </w:r>
          </w:p>
        </w:tc>
        <w:tc>
          <w:tcPr>
            <w:tcW w:w="380" w:type="dxa"/>
            <w:vAlign w:val="bottom"/>
            <w:gridSpan w:val="2"/>
            <w:shd w:val="clear" w:color="auto" w:fill="CCEDFF"/>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144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19,840</w:t>
            </w:r>
          </w:p>
        </w:tc>
        <w:tc>
          <w:tcPr>
            <w:tcW w:w="280" w:type="dxa"/>
            <w:vAlign w:val="bottom"/>
            <w:gridSpan w:val="2"/>
            <w:shd w:val="clear" w:color="auto" w:fill="CCEDFF"/>
          </w:tcPr>
          <w:p>
            <w:pPr>
              <w:ind w:left="120"/>
              <w:spacing w:after="0" w:line="183" w:lineRule="exact"/>
              <w:rPr>
                <w:sz w:val="20"/>
                <w:szCs w:val="20"/>
                <w:color w:val="auto"/>
              </w:rPr>
            </w:pPr>
            <w:r>
              <w:rPr>
                <w:rFonts w:ascii="Arial" w:cs="Arial" w:eastAsia="Arial" w:hAnsi="Arial"/>
                <w:sz w:val="16"/>
                <w:szCs w:val="16"/>
                <w:color w:val="auto"/>
              </w:rPr>
              <w:t>$</w:t>
            </w:r>
          </w:p>
        </w:tc>
        <w:tc>
          <w:tcPr>
            <w:tcW w:w="152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52,238</w:t>
            </w:r>
          </w:p>
        </w:tc>
        <w:tc>
          <w:tcPr>
            <w:tcW w:w="380" w:type="dxa"/>
            <w:vAlign w:val="bottom"/>
            <w:gridSpan w:val="2"/>
            <w:shd w:val="clear" w:color="auto" w:fill="CCEDFF"/>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1460" w:type="dxa"/>
            <w:vAlign w:val="bottom"/>
            <w:shd w:val="clear" w:color="auto" w:fill="CCEDFF"/>
          </w:tcPr>
          <w:p>
            <w:pPr>
              <w:jc w:val="right"/>
              <w:ind w:right="59"/>
              <w:spacing w:after="0" w:line="183" w:lineRule="exact"/>
              <w:rPr>
                <w:sz w:val="20"/>
                <w:szCs w:val="20"/>
                <w:color w:val="auto"/>
              </w:rPr>
            </w:pPr>
            <w:r>
              <w:rPr>
                <w:rFonts w:ascii="Arial" w:cs="Arial" w:eastAsia="Arial" w:hAnsi="Arial"/>
                <w:sz w:val="16"/>
                <w:szCs w:val="16"/>
                <w:color w:val="auto"/>
              </w:rPr>
              <w:t>31,090</w:t>
            </w:r>
          </w:p>
        </w:tc>
      </w:tr>
      <w:tr>
        <w:trPr>
          <w:trHeight w:val="189"/>
        </w:trPr>
        <w:tc>
          <w:tcPr>
            <w:tcW w:w="5780" w:type="dxa"/>
            <w:vAlign w:val="bottom"/>
          </w:tcPr>
          <w:p>
            <w:pPr>
              <w:spacing w:after="0"/>
              <w:rPr>
                <w:sz w:val="20"/>
                <w:szCs w:val="20"/>
                <w:color w:val="auto"/>
              </w:rPr>
            </w:pPr>
            <w:r>
              <w:rPr>
                <w:rFonts w:ascii="Arial" w:cs="Arial" w:eastAsia="Arial" w:hAnsi="Arial"/>
                <w:sz w:val="16"/>
                <w:szCs w:val="16"/>
                <w:b w:val="1"/>
                <w:bCs w:val="1"/>
                <w:color w:val="auto"/>
              </w:rPr>
              <w:t>Cash flows used in investing activities</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89"/>
        </w:trPr>
        <w:tc>
          <w:tcPr>
            <w:tcW w:w="5780" w:type="dxa"/>
            <w:vAlign w:val="bottom"/>
            <w:shd w:val="clear" w:color="auto" w:fill="CCEDFF"/>
          </w:tcPr>
          <w:p>
            <w:pPr>
              <w:ind w:left="60"/>
              <w:spacing w:after="0"/>
              <w:rPr>
                <w:sz w:val="20"/>
                <w:szCs w:val="20"/>
                <w:color w:val="auto"/>
              </w:rPr>
            </w:pPr>
            <w:r>
              <w:rPr>
                <w:rFonts w:ascii="Arial" w:cs="Arial" w:eastAsia="Arial" w:hAnsi="Arial"/>
                <w:sz w:val="16"/>
                <w:szCs w:val="16"/>
                <w:color w:val="auto"/>
              </w:rPr>
              <w:t>Payments on acquisitions, net of cash acquired</w:t>
            </w:r>
          </w:p>
        </w:tc>
        <w:tc>
          <w:tcPr>
            <w:tcW w:w="120" w:type="dxa"/>
            <w:vAlign w:val="bottom"/>
            <w:shd w:val="clear" w:color="auto" w:fill="CCEDFF"/>
          </w:tcPr>
          <w:p>
            <w:pPr>
              <w:spacing w:after="0"/>
              <w:rPr>
                <w:sz w:val="16"/>
                <w:szCs w:val="16"/>
                <w:color w:val="auto"/>
              </w:rPr>
            </w:pPr>
          </w:p>
        </w:tc>
        <w:tc>
          <w:tcPr>
            <w:tcW w:w="260" w:type="dxa"/>
            <w:vAlign w:val="bottom"/>
            <w:shd w:val="clear" w:color="auto" w:fill="CCEDFF"/>
          </w:tcPr>
          <w:p>
            <w:pPr>
              <w:spacing w:after="0"/>
              <w:rPr>
                <w:sz w:val="16"/>
                <w:szCs w:val="16"/>
                <w:color w:val="auto"/>
              </w:rPr>
            </w:pPr>
          </w:p>
        </w:tc>
        <w:tc>
          <w:tcPr>
            <w:tcW w:w="144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DFF"/>
          </w:tcPr>
          <w:p>
            <w:pPr>
              <w:spacing w:after="0"/>
              <w:rPr>
                <w:sz w:val="16"/>
                <w:szCs w:val="16"/>
                <w:color w:val="auto"/>
              </w:rPr>
            </w:pPr>
          </w:p>
        </w:tc>
        <w:tc>
          <w:tcPr>
            <w:tcW w:w="160" w:type="dxa"/>
            <w:vAlign w:val="bottom"/>
            <w:shd w:val="clear" w:color="auto" w:fill="CCEDFF"/>
          </w:tcPr>
          <w:p>
            <w:pPr>
              <w:spacing w:after="0"/>
              <w:rPr>
                <w:sz w:val="16"/>
                <w:szCs w:val="16"/>
                <w:color w:val="auto"/>
              </w:rPr>
            </w:pPr>
          </w:p>
        </w:tc>
        <w:tc>
          <w:tcPr>
            <w:tcW w:w="1520" w:type="dxa"/>
            <w:vAlign w:val="bottom"/>
            <w:shd w:val="clear" w:color="auto" w:fill="CCEDFF"/>
          </w:tcPr>
          <w:p>
            <w:pPr>
              <w:jc w:val="right"/>
              <w:spacing w:after="0"/>
              <w:rPr>
                <w:sz w:val="20"/>
                <w:szCs w:val="20"/>
                <w:color w:val="auto"/>
              </w:rPr>
            </w:pPr>
            <w:r>
              <w:rPr>
                <w:rFonts w:ascii="Arial" w:cs="Arial" w:eastAsia="Arial" w:hAnsi="Arial"/>
                <w:sz w:val="16"/>
                <w:szCs w:val="16"/>
                <w:color w:val="auto"/>
              </w:rPr>
              <w:t>(2,499)</w:t>
            </w:r>
          </w:p>
        </w:tc>
        <w:tc>
          <w:tcPr>
            <w:tcW w:w="120" w:type="dxa"/>
            <w:vAlign w:val="bottom"/>
            <w:shd w:val="clear" w:color="auto" w:fill="CCEDFF"/>
          </w:tcPr>
          <w:p>
            <w:pPr>
              <w:spacing w:after="0"/>
              <w:rPr>
                <w:sz w:val="16"/>
                <w:szCs w:val="16"/>
                <w:color w:val="auto"/>
              </w:rPr>
            </w:pPr>
          </w:p>
        </w:tc>
        <w:tc>
          <w:tcPr>
            <w:tcW w:w="260" w:type="dxa"/>
            <w:vAlign w:val="bottom"/>
            <w:shd w:val="clear" w:color="auto" w:fill="CCEDFF"/>
          </w:tcPr>
          <w:p>
            <w:pPr>
              <w:spacing w:after="0"/>
              <w:rPr>
                <w:sz w:val="16"/>
                <w:szCs w:val="16"/>
                <w:color w:val="auto"/>
              </w:rPr>
            </w:pPr>
          </w:p>
        </w:tc>
        <w:tc>
          <w:tcPr>
            <w:tcW w:w="1460" w:type="dxa"/>
            <w:vAlign w:val="bottom"/>
            <w:shd w:val="clear" w:color="auto" w:fill="CCEDFF"/>
          </w:tcPr>
          <w:p>
            <w:pPr>
              <w:jc w:val="right"/>
              <w:spacing w:after="0"/>
              <w:rPr>
                <w:sz w:val="20"/>
                <w:szCs w:val="20"/>
                <w:color w:val="auto"/>
              </w:rPr>
            </w:pPr>
            <w:r>
              <w:rPr>
                <w:rFonts w:ascii="Arial" w:cs="Arial" w:eastAsia="Arial" w:hAnsi="Arial"/>
                <w:sz w:val="16"/>
                <w:szCs w:val="16"/>
                <w:color w:val="auto"/>
              </w:rPr>
              <w:t>(17,413)</w:t>
            </w:r>
          </w:p>
        </w:tc>
      </w:tr>
      <w:tr>
        <w:trPr>
          <w:trHeight w:val="189"/>
        </w:trPr>
        <w:tc>
          <w:tcPr>
            <w:tcW w:w="5780" w:type="dxa"/>
            <w:vAlign w:val="bottom"/>
          </w:tcPr>
          <w:p>
            <w:pPr>
              <w:ind w:left="60"/>
              <w:spacing w:after="0"/>
              <w:rPr>
                <w:sz w:val="20"/>
                <w:szCs w:val="20"/>
                <w:color w:val="auto"/>
              </w:rPr>
            </w:pPr>
            <w:r>
              <w:rPr>
                <w:rFonts w:ascii="Arial" w:cs="Arial" w:eastAsia="Arial" w:hAnsi="Arial"/>
                <w:sz w:val="16"/>
                <w:szCs w:val="16"/>
                <w:color w:val="auto"/>
              </w:rPr>
              <w:t>Capital expenditures</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(5,827)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(8,927)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(7,056)</w:t>
            </w:r>
          </w:p>
        </w:tc>
      </w:tr>
      <w:tr>
        <w:trPr>
          <w:trHeight w:val="189"/>
        </w:trPr>
        <w:tc>
          <w:tcPr>
            <w:tcW w:w="5780" w:type="dxa"/>
            <w:vAlign w:val="bottom"/>
            <w:shd w:val="clear" w:color="auto" w:fill="CCEDFF"/>
          </w:tcPr>
          <w:p>
            <w:pPr>
              <w:ind w:left="60"/>
              <w:spacing w:after="0"/>
              <w:rPr>
                <w:sz w:val="20"/>
                <w:szCs w:val="20"/>
                <w:color w:val="auto"/>
              </w:rPr>
            </w:pPr>
            <w:r>
              <w:rPr>
                <w:rFonts w:ascii="Arial" w:cs="Arial" w:eastAsia="Arial" w:hAnsi="Arial"/>
                <w:sz w:val="16"/>
                <w:szCs w:val="16"/>
                <w:color w:val="auto"/>
              </w:rPr>
              <w:t>Proceeds from sale of property and equipment</w:t>
            </w:r>
          </w:p>
        </w:tc>
        <w:tc>
          <w:tcPr>
            <w:tcW w:w="120" w:type="dxa"/>
            <w:vAlign w:val="bottom"/>
            <w:shd w:val="clear" w:color="auto" w:fill="CCEDFF"/>
          </w:tcPr>
          <w:p>
            <w:pPr>
              <w:spacing w:after="0"/>
              <w:rPr>
                <w:sz w:val="16"/>
                <w:szCs w:val="16"/>
                <w:color w:val="auto"/>
              </w:rPr>
            </w:pPr>
          </w:p>
        </w:tc>
        <w:tc>
          <w:tcPr>
            <w:tcW w:w="260" w:type="dxa"/>
            <w:vAlign w:val="bottom"/>
            <w:shd w:val="clear" w:color="auto" w:fill="CCEDFF"/>
          </w:tcPr>
          <w:p>
            <w:pPr>
              <w:spacing w:after="0"/>
              <w:rPr>
                <w:sz w:val="16"/>
                <w:szCs w:val="16"/>
                <w:color w:val="auto"/>
              </w:rPr>
            </w:pPr>
          </w:p>
        </w:tc>
        <w:tc>
          <w:tcPr>
            <w:tcW w:w="144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202</w:t>
            </w:r>
          </w:p>
        </w:tc>
        <w:tc>
          <w:tcPr>
            <w:tcW w:w="120" w:type="dxa"/>
            <w:vAlign w:val="bottom"/>
            <w:shd w:val="clear" w:color="auto" w:fill="CCEDFF"/>
          </w:tcPr>
          <w:p>
            <w:pPr>
              <w:spacing w:after="0"/>
              <w:rPr>
                <w:sz w:val="16"/>
                <w:szCs w:val="16"/>
                <w:color w:val="auto"/>
              </w:rPr>
            </w:pPr>
          </w:p>
        </w:tc>
        <w:tc>
          <w:tcPr>
            <w:tcW w:w="160" w:type="dxa"/>
            <w:vAlign w:val="bottom"/>
            <w:shd w:val="clear" w:color="auto" w:fill="CCEDFF"/>
          </w:tcPr>
          <w:p>
            <w:pPr>
              <w:spacing w:after="0"/>
              <w:rPr>
                <w:sz w:val="16"/>
                <w:szCs w:val="16"/>
                <w:color w:val="auto"/>
              </w:rPr>
            </w:pPr>
          </w:p>
        </w:tc>
        <w:tc>
          <w:tcPr>
            <w:tcW w:w="152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1,468</w:t>
            </w:r>
          </w:p>
        </w:tc>
        <w:tc>
          <w:tcPr>
            <w:tcW w:w="120" w:type="dxa"/>
            <w:vAlign w:val="bottom"/>
            <w:shd w:val="clear" w:color="auto" w:fill="CCEDFF"/>
          </w:tcPr>
          <w:p>
            <w:pPr>
              <w:spacing w:after="0"/>
              <w:rPr>
                <w:sz w:val="16"/>
                <w:szCs w:val="16"/>
                <w:color w:val="auto"/>
              </w:rPr>
            </w:pPr>
          </w:p>
        </w:tc>
        <w:tc>
          <w:tcPr>
            <w:tcW w:w="260" w:type="dxa"/>
            <w:vAlign w:val="bottom"/>
            <w:shd w:val="clear" w:color="auto" w:fill="CCEDFF"/>
          </w:tcPr>
          <w:p>
            <w:pPr>
              <w:spacing w:after="0"/>
              <w:rPr>
                <w:sz w:val="16"/>
                <w:szCs w:val="16"/>
                <w:color w:val="auto"/>
              </w:rPr>
            </w:pPr>
          </w:p>
        </w:tc>
        <w:tc>
          <w:tcPr>
            <w:tcW w:w="1460" w:type="dxa"/>
            <w:vAlign w:val="bottom"/>
            <w:shd w:val="clear" w:color="auto" w:fill="CCEDFF"/>
          </w:tcPr>
          <w:p>
            <w:pPr>
              <w:jc w:val="right"/>
              <w:ind w:right="59"/>
              <w:spacing w:after="0"/>
              <w:rPr>
                <w:sz w:val="20"/>
                <w:szCs w:val="20"/>
                <w:color w:val="auto"/>
              </w:rPr>
            </w:pPr>
            <w:r>
              <w:rPr>
                <w:rFonts w:ascii="Arial" w:cs="Arial" w:eastAsia="Arial" w:hAnsi="Arial"/>
                <w:sz w:val="16"/>
                <w:szCs w:val="16"/>
                <w:color w:val="auto"/>
              </w:rPr>
              <w:t>1,003</w:t>
            </w:r>
          </w:p>
        </w:tc>
      </w:tr>
      <w:tr>
        <w:trPr>
          <w:trHeight w:val="189"/>
        </w:trPr>
        <w:tc>
          <w:tcPr>
            <w:tcW w:w="578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Cash acquired in stock based business combination</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r>
      <w:tr>
        <w:trPr>
          <w:trHeight w:val="183"/>
        </w:trPr>
        <w:tc>
          <w:tcPr>
            <w:tcW w:w="5780" w:type="dxa"/>
            <w:vAlign w:val="bottom"/>
            <w:shd w:val="clear" w:color="auto" w:fill="CCEDFF"/>
          </w:tcPr>
          <w:p>
            <w:pPr>
              <w:ind w:left="120"/>
              <w:spacing w:after="0" w:line="183" w:lineRule="exact"/>
              <w:rPr>
                <w:sz w:val="20"/>
                <w:szCs w:val="20"/>
                <w:color w:val="auto"/>
              </w:rPr>
            </w:pPr>
            <w:r>
              <w:rPr>
                <w:rFonts w:ascii="Arial" w:cs="Arial" w:eastAsia="Arial" w:hAnsi="Arial"/>
                <w:sz w:val="16"/>
                <w:szCs w:val="16"/>
                <w:color w:val="auto"/>
              </w:rPr>
              <w:t>Net cash used in investing activities</w:t>
            </w:r>
          </w:p>
        </w:tc>
        <w:tc>
          <w:tcPr>
            <w:tcW w:w="380" w:type="dxa"/>
            <w:vAlign w:val="bottom"/>
            <w:gridSpan w:val="2"/>
            <w:shd w:val="clear" w:color="auto" w:fill="CCEDFF"/>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1440" w:type="dxa"/>
            <w:vAlign w:val="bottom"/>
            <w:shd w:val="clear" w:color="auto" w:fill="CCEDFF"/>
          </w:tcPr>
          <w:p>
            <w:pPr>
              <w:jc w:val="right"/>
              <w:spacing w:after="0" w:line="183" w:lineRule="exact"/>
              <w:rPr>
                <w:sz w:val="20"/>
                <w:szCs w:val="20"/>
                <w:color w:val="auto"/>
              </w:rPr>
            </w:pPr>
            <w:r>
              <w:rPr>
                <w:rFonts w:ascii="Arial" w:cs="Arial" w:eastAsia="Arial" w:hAnsi="Arial"/>
                <w:sz w:val="16"/>
                <w:szCs w:val="16"/>
                <w:color w:val="auto"/>
              </w:rPr>
              <w:t>(5,625)</w:t>
            </w:r>
          </w:p>
        </w:tc>
        <w:tc>
          <w:tcPr>
            <w:tcW w:w="280" w:type="dxa"/>
            <w:vAlign w:val="bottom"/>
            <w:gridSpan w:val="2"/>
            <w:shd w:val="clear" w:color="auto" w:fill="CCEDFF"/>
          </w:tcPr>
          <w:p>
            <w:pPr>
              <w:ind w:left="120"/>
              <w:spacing w:after="0" w:line="183" w:lineRule="exact"/>
              <w:rPr>
                <w:sz w:val="20"/>
                <w:szCs w:val="20"/>
                <w:color w:val="auto"/>
              </w:rPr>
            </w:pPr>
            <w:r>
              <w:rPr>
                <w:rFonts w:ascii="Arial" w:cs="Arial" w:eastAsia="Arial" w:hAnsi="Arial"/>
                <w:sz w:val="16"/>
                <w:szCs w:val="16"/>
                <w:color w:val="auto"/>
              </w:rPr>
              <w:t>$</w:t>
            </w:r>
          </w:p>
        </w:tc>
        <w:tc>
          <w:tcPr>
            <w:tcW w:w="1520" w:type="dxa"/>
            <w:vAlign w:val="bottom"/>
            <w:shd w:val="clear" w:color="auto" w:fill="CCEDFF"/>
          </w:tcPr>
          <w:p>
            <w:pPr>
              <w:jc w:val="right"/>
              <w:spacing w:after="0" w:line="183" w:lineRule="exact"/>
              <w:rPr>
                <w:sz w:val="20"/>
                <w:szCs w:val="20"/>
                <w:color w:val="auto"/>
              </w:rPr>
            </w:pPr>
            <w:r>
              <w:rPr>
                <w:rFonts w:ascii="Arial" w:cs="Arial" w:eastAsia="Arial" w:hAnsi="Arial"/>
                <w:sz w:val="16"/>
                <w:szCs w:val="16"/>
                <w:color w:val="auto"/>
              </w:rPr>
              <w:t>(9,958)</w:t>
            </w:r>
          </w:p>
        </w:tc>
        <w:tc>
          <w:tcPr>
            <w:tcW w:w="380" w:type="dxa"/>
            <w:vAlign w:val="bottom"/>
            <w:gridSpan w:val="2"/>
            <w:shd w:val="clear" w:color="auto" w:fill="CCEDFF"/>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1460" w:type="dxa"/>
            <w:vAlign w:val="bottom"/>
            <w:shd w:val="clear" w:color="auto" w:fill="CCEDFF"/>
          </w:tcPr>
          <w:p>
            <w:pPr>
              <w:jc w:val="right"/>
              <w:spacing w:after="0" w:line="183" w:lineRule="exact"/>
              <w:rPr>
                <w:sz w:val="20"/>
                <w:szCs w:val="20"/>
                <w:color w:val="auto"/>
              </w:rPr>
            </w:pPr>
            <w:r>
              <w:rPr>
                <w:rFonts w:ascii="Arial" w:cs="Arial" w:eastAsia="Arial" w:hAnsi="Arial"/>
                <w:sz w:val="16"/>
                <w:szCs w:val="16"/>
                <w:color w:val="auto"/>
              </w:rPr>
              <w:t>(23,466)</w:t>
            </w:r>
          </w:p>
        </w:tc>
      </w:tr>
      <w:tr>
        <w:trPr>
          <w:trHeight w:val="189"/>
        </w:trPr>
        <w:tc>
          <w:tcPr>
            <w:tcW w:w="5780" w:type="dxa"/>
            <w:vAlign w:val="bottom"/>
          </w:tcPr>
          <w:p>
            <w:pPr>
              <w:spacing w:after="0"/>
              <w:rPr>
                <w:sz w:val="20"/>
                <w:szCs w:val="20"/>
                <w:color w:val="auto"/>
              </w:rPr>
            </w:pPr>
            <w:r>
              <w:rPr>
                <w:rFonts w:ascii="Arial" w:cs="Arial" w:eastAsia="Arial" w:hAnsi="Arial"/>
                <w:sz w:val="16"/>
                <w:szCs w:val="16"/>
                <w:b w:val="1"/>
                <w:bCs w:val="1"/>
                <w:color w:val="auto"/>
              </w:rPr>
              <w:t>Cash flows provided by financing activities</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89"/>
        </w:trPr>
        <w:tc>
          <w:tcPr>
            <w:tcW w:w="5780" w:type="dxa"/>
            <w:vAlign w:val="bottom"/>
            <w:shd w:val="clear" w:color="auto" w:fill="CCEDFF"/>
          </w:tcPr>
          <w:p>
            <w:pPr>
              <w:ind w:left="60"/>
              <w:spacing w:after="0"/>
              <w:rPr>
                <w:sz w:val="20"/>
                <w:szCs w:val="20"/>
                <w:color w:val="auto"/>
              </w:rPr>
            </w:pPr>
            <w:r>
              <w:rPr>
                <w:rFonts w:ascii="Arial" w:cs="Arial" w:eastAsia="Arial" w:hAnsi="Arial"/>
                <w:sz w:val="16"/>
                <w:szCs w:val="16"/>
                <w:color w:val="auto"/>
              </w:rPr>
              <w:t>Net borrowings (repayments) on line of credit</w:t>
            </w:r>
          </w:p>
        </w:tc>
        <w:tc>
          <w:tcPr>
            <w:tcW w:w="120" w:type="dxa"/>
            <w:vAlign w:val="bottom"/>
            <w:shd w:val="clear" w:color="auto" w:fill="CCEDFF"/>
          </w:tcPr>
          <w:p>
            <w:pPr>
              <w:spacing w:after="0"/>
              <w:rPr>
                <w:sz w:val="16"/>
                <w:szCs w:val="16"/>
                <w:color w:val="auto"/>
              </w:rPr>
            </w:pPr>
          </w:p>
        </w:tc>
        <w:tc>
          <w:tcPr>
            <w:tcW w:w="260" w:type="dxa"/>
            <w:vAlign w:val="bottom"/>
            <w:shd w:val="clear" w:color="auto" w:fill="CCEDFF"/>
          </w:tcPr>
          <w:p>
            <w:pPr>
              <w:spacing w:after="0"/>
              <w:rPr>
                <w:sz w:val="16"/>
                <w:szCs w:val="16"/>
                <w:color w:val="auto"/>
              </w:rPr>
            </w:pPr>
          </w:p>
        </w:tc>
        <w:tc>
          <w:tcPr>
            <w:tcW w:w="144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DFF"/>
          </w:tcPr>
          <w:p>
            <w:pPr>
              <w:spacing w:after="0"/>
              <w:rPr>
                <w:sz w:val="16"/>
                <w:szCs w:val="16"/>
                <w:color w:val="auto"/>
              </w:rPr>
            </w:pPr>
          </w:p>
        </w:tc>
        <w:tc>
          <w:tcPr>
            <w:tcW w:w="160" w:type="dxa"/>
            <w:vAlign w:val="bottom"/>
            <w:shd w:val="clear" w:color="auto" w:fill="CCEDFF"/>
          </w:tcPr>
          <w:p>
            <w:pPr>
              <w:spacing w:after="0"/>
              <w:rPr>
                <w:sz w:val="16"/>
                <w:szCs w:val="16"/>
                <w:color w:val="auto"/>
              </w:rPr>
            </w:pPr>
          </w:p>
        </w:tc>
        <w:tc>
          <w:tcPr>
            <w:tcW w:w="152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DFF"/>
          </w:tcPr>
          <w:p>
            <w:pPr>
              <w:spacing w:after="0"/>
              <w:rPr>
                <w:sz w:val="16"/>
                <w:szCs w:val="16"/>
                <w:color w:val="auto"/>
              </w:rPr>
            </w:pPr>
          </w:p>
        </w:tc>
        <w:tc>
          <w:tcPr>
            <w:tcW w:w="260" w:type="dxa"/>
            <w:vAlign w:val="bottom"/>
            <w:shd w:val="clear" w:color="auto" w:fill="CCEDFF"/>
          </w:tcPr>
          <w:p>
            <w:pPr>
              <w:spacing w:after="0"/>
              <w:rPr>
                <w:sz w:val="16"/>
                <w:szCs w:val="16"/>
                <w:color w:val="auto"/>
              </w:rPr>
            </w:pPr>
          </w:p>
        </w:tc>
        <w:tc>
          <w:tcPr>
            <w:tcW w:w="1460" w:type="dxa"/>
            <w:vAlign w:val="bottom"/>
            <w:shd w:val="clear" w:color="auto" w:fill="CCEDFF"/>
          </w:tcPr>
          <w:p>
            <w:pPr>
              <w:jc w:val="right"/>
              <w:ind w:right="59"/>
              <w:spacing w:after="0"/>
              <w:rPr>
                <w:sz w:val="20"/>
                <w:szCs w:val="20"/>
                <w:color w:val="auto"/>
              </w:rPr>
            </w:pPr>
            <w:r>
              <w:rPr>
                <w:rFonts w:ascii="Arial" w:cs="Arial" w:eastAsia="Arial" w:hAnsi="Arial"/>
                <w:sz w:val="16"/>
                <w:szCs w:val="16"/>
                <w:color w:val="auto"/>
              </w:rPr>
              <w:t>1,600</w:t>
            </w:r>
          </w:p>
        </w:tc>
      </w:tr>
      <w:tr>
        <w:trPr>
          <w:trHeight w:val="189"/>
        </w:trPr>
        <w:tc>
          <w:tcPr>
            <w:tcW w:w="5780" w:type="dxa"/>
            <w:vAlign w:val="bottom"/>
          </w:tcPr>
          <w:p>
            <w:pPr>
              <w:ind w:left="60"/>
              <w:spacing w:after="0"/>
              <w:rPr>
                <w:sz w:val="20"/>
                <w:szCs w:val="20"/>
                <w:color w:val="auto"/>
              </w:rPr>
            </w:pPr>
            <w:r>
              <w:rPr>
                <w:rFonts w:ascii="Arial" w:cs="Arial" w:eastAsia="Arial" w:hAnsi="Arial"/>
                <w:sz w:val="16"/>
                <w:szCs w:val="16"/>
                <w:color w:val="auto"/>
              </w:rPr>
              <w:t>Net repayments on term loan</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(11,429)</w:t>
            </w:r>
          </w:p>
        </w:tc>
      </w:tr>
      <w:tr>
        <w:trPr>
          <w:trHeight w:val="189"/>
        </w:trPr>
        <w:tc>
          <w:tcPr>
            <w:tcW w:w="5780" w:type="dxa"/>
            <w:vAlign w:val="bottom"/>
            <w:shd w:val="clear" w:color="auto" w:fill="CCEDFF"/>
          </w:tcPr>
          <w:p>
            <w:pPr>
              <w:ind w:left="60"/>
              <w:spacing w:after="0"/>
              <w:rPr>
                <w:sz w:val="20"/>
                <w:szCs w:val="20"/>
                <w:color w:val="auto"/>
              </w:rPr>
            </w:pPr>
            <w:r>
              <w:rPr>
                <w:rFonts w:ascii="Arial" w:cs="Arial" w:eastAsia="Arial" w:hAnsi="Arial"/>
                <w:sz w:val="16"/>
                <w:szCs w:val="16"/>
                <w:color w:val="auto"/>
              </w:rPr>
              <w:t>Payments on finance leases</w:t>
            </w:r>
          </w:p>
        </w:tc>
        <w:tc>
          <w:tcPr>
            <w:tcW w:w="120" w:type="dxa"/>
            <w:vAlign w:val="bottom"/>
            <w:shd w:val="clear" w:color="auto" w:fill="CCEDFF"/>
          </w:tcPr>
          <w:p>
            <w:pPr>
              <w:spacing w:after="0"/>
              <w:rPr>
                <w:sz w:val="16"/>
                <w:szCs w:val="16"/>
                <w:color w:val="auto"/>
              </w:rPr>
            </w:pPr>
          </w:p>
        </w:tc>
        <w:tc>
          <w:tcPr>
            <w:tcW w:w="260" w:type="dxa"/>
            <w:vAlign w:val="bottom"/>
            <w:shd w:val="clear" w:color="auto" w:fill="CCEDFF"/>
          </w:tcPr>
          <w:p>
            <w:pPr>
              <w:spacing w:after="0"/>
              <w:rPr>
                <w:sz w:val="16"/>
                <w:szCs w:val="16"/>
                <w:color w:val="auto"/>
              </w:rPr>
            </w:pPr>
          </w:p>
        </w:tc>
        <w:tc>
          <w:tcPr>
            <w:tcW w:w="1440" w:type="dxa"/>
            <w:vAlign w:val="bottom"/>
            <w:shd w:val="clear" w:color="auto" w:fill="CCEDFF"/>
          </w:tcPr>
          <w:p>
            <w:pPr>
              <w:jc w:val="right"/>
              <w:spacing w:after="0"/>
              <w:rPr>
                <w:sz w:val="20"/>
                <w:szCs w:val="20"/>
                <w:color w:val="auto"/>
              </w:rPr>
            </w:pPr>
            <w:r>
              <w:rPr>
                <w:rFonts w:ascii="Arial" w:cs="Arial" w:eastAsia="Arial" w:hAnsi="Arial"/>
                <w:sz w:val="16"/>
                <w:szCs w:val="16"/>
                <w:color w:val="auto"/>
              </w:rPr>
              <w:t>(2,070)</w:t>
            </w:r>
          </w:p>
        </w:tc>
        <w:tc>
          <w:tcPr>
            <w:tcW w:w="120" w:type="dxa"/>
            <w:vAlign w:val="bottom"/>
            <w:shd w:val="clear" w:color="auto" w:fill="CCEDFF"/>
          </w:tcPr>
          <w:p>
            <w:pPr>
              <w:spacing w:after="0"/>
              <w:rPr>
                <w:sz w:val="16"/>
                <w:szCs w:val="16"/>
                <w:color w:val="auto"/>
              </w:rPr>
            </w:pPr>
          </w:p>
        </w:tc>
        <w:tc>
          <w:tcPr>
            <w:tcW w:w="160" w:type="dxa"/>
            <w:vAlign w:val="bottom"/>
            <w:shd w:val="clear" w:color="auto" w:fill="CCEDFF"/>
          </w:tcPr>
          <w:p>
            <w:pPr>
              <w:spacing w:after="0"/>
              <w:rPr>
                <w:sz w:val="16"/>
                <w:szCs w:val="16"/>
                <w:color w:val="auto"/>
              </w:rPr>
            </w:pPr>
          </w:p>
        </w:tc>
        <w:tc>
          <w:tcPr>
            <w:tcW w:w="1520" w:type="dxa"/>
            <w:vAlign w:val="bottom"/>
            <w:shd w:val="clear" w:color="auto" w:fill="CCEDFF"/>
          </w:tcPr>
          <w:p>
            <w:pPr>
              <w:jc w:val="right"/>
              <w:spacing w:after="0"/>
              <w:rPr>
                <w:sz w:val="20"/>
                <w:szCs w:val="20"/>
                <w:color w:val="auto"/>
              </w:rPr>
            </w:pPr>
            <w:r>
              <w:rPr>
                <w:rFonts w:ascii="Arial" w:cs="Arial" w:eastAsia="Arial" w:hAnsi="Arial"/>
                <w:sz w:val="16"/>
                <w:szCs w:val="16"/>
                <w:color w:val="auto"/>
              </w:rPr>
              <w:t>(2,243)</w:t>
            </w:r>
          </w:p>
        </w:tc>
        <w:tc>
          <w:tcPr>
            <w:tcW w:w="120" w:type="dxa"/>
            <w:vAlign w:val="bottom"/>
            <w:shd w:val="clear" w:color="auto" w:fill="CCEDFF"/>
          </w:tcPr>
          <w:p>
            <w:pPr>
              <w:spacing w:after="0"/>
              <w:rPr>
                <w:sz w:val="16"/>
                <w:szCs w:val="16"/>
                <w:color w:val="auto"/>
              </w:rPr>
            </w:pPr>
          </w:p>
        </w:tc>
        <w:tc>
          <w:tcPr>
            <w:tcW w:w="260" w:type="dxa"/>
            <w:vAlign w:val="bottom"/>
            <w:shd w:val="clear" w:color="auto" w:fill="CCEDFF"/>
          </w:tcPr>
          <w:p>
            <w:pPr>
              <w:spacing w:after="0"/>
              <w:rPr>
                <w:sz w:val="16"/>
                <w:szCs w:val="16"/>
                <w:color w:val="auto"/>
              </w:rPr>
            </w:pPr>
          </w:p>
        </w:tc>
        <w:tc>
          <w:tcPr>
            <w:tcW w:w="1460" w:type="dxa"/>
            <w:vAlign w:val="bottom"/>
            <w:shd w:val="clear" w:color="auto" w:fill="CCEDFF"/>
          </w:tcPr>
          <w:p>
            <w:pPr>
              <w:jc w:val="right"/>
              <w:spacing w:after="0"/>
              <w:rPr>
                <w:sz w:val="20"/>
                <w:szCs w:val="20"/>
                <w:color w:val="auto"/>
              </w:rPr>
            </w:pPr>
            <w:r>
              <w:rPr>
                <w:rFonts w:ascii="Arial" w:cs="Arial" w:eastAsia="Arial" w:hAnsi="Arial"/>
                <w:sz w:val="16"/>
                <w:szCs w:val="16"/>
                <w:color w:val="auto"/>
              </w:rPr>
              <w:t>(1,630)</w:t>
            </w:r>
          </w:p>
        </w:tc>
      </w:tr>
      <w:tr>
        <w:trPr>
          <w:trHeight w:val="189"/>
        </w:trPr>
        <w:tc>
          <w:tcPr>
            <w:tcW w:w="578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Other financing</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(14,840)</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(542)</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(1,940)</w:t>
            </w:r>
          </w:p>
        </w:tc>
      </w:tr>
      <w:tr>
        <w:trPr>
          <w:trHeight w:val="183"/>
        </w:trPr>
        <w:tc>
          <w:tcPr>
            <w:tcW w:w="5780" w:type="dxa"/>
            <w:vAlign w:val="bottom"/>
            <w:shd w:val="clear" w:color="auto" w:fill="CCEDFF"/>
          </w:tcPr>
          <w:p>
            <w:pPr>
              <w:ind w:left="120"/>
              <w:spacing w:after="0" w:line="183" w:lineRule="exact"/>
              <w:rPr>
                <w:sz w:val="20"/>
                <w:szCs w:val="20"/>
                <w:color w:val="auto"/>
              </w:rPr>
            </w:pPr>
            <w:r>
              <w:rPr>
                <w:rFonts w:ascii="Arial" w:cs="Arial" w:eastAsia="Arial" w:hAnsi="Arial"/>
                <w:sz w:val="16"/>
                <w:szCs w:val="16"/>
                <w:color w:val="auto"/>
              </w:rPr>
              <w:t>Net cash provided by (used in) financing activities</w:t>
            </w:r>
          </w:p>
        </w:tc>
        <w:tc>
          <w:tcPr>
            <w:tcW w:w="380" w:type="dxa"/>
            <w:vAlign w:val="bottom"/>
            <w:gridSpan w:val="2"/>
            <w:shd w:val="clear" w:color="auto" w:fill="CCEDFF"/>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1440" w:type="dxa"/>
            <w:vAlign w:val="bottom"/>
            <w:shd w:val="clear" w:color="auto" w:fill="CCEDFF"/>
          </w:tcPr>
          <w:p>
            <w:pPr>
              <w:jc w:val="right"/>
              <w:spacing w:after="0" w:line="183" w:lineRule="exact"/>
              <w:rPr>
                <w:sz w:val="20"/>
                <w:szCs w:val="20"/>
                <w:color w:val="auto"/>
              </w:rPr>
            </w:pPr>
            <w:r>
              <w:rPr>
                <w:rFonts w:ascii="Arial" w:cs="Arial" w:eastAsia="Arial" w:hAnsi="Arial"/>
                <w:sz w:val="16"/>
                <w:szCs w:val="16"/>
                <w:color w:val="auto"/>
              </w:rPr>
              <w:t>(16,910)</w:t>
            </w:r>
          </w:p>
        </w:tc>
        <w:tc>
          <w:tcPr>
            <w:tcW w:w="280" w:type="dxa"/>
            <w:vAlign w:val="bottom"/>
            <w:gridSpan w:val="2"/>
            <w:shd w:val="clear" w:color="auto" w:fill="CCEDFF"/>
          </w:tcPr>
          <w:p>
            <w:pPr>
              <w:ind w:left="120"/>
              <w:spacing w:after="0" w:line="183" w:lineRule="exact"/>
              <w:rPr>
                <w:sz w:val="20"/>
                <w:szCs w:val="20"/>
                <w:color w:val="auto"/>
              </w:rPr>
            </w:pPr>
            <w:r>
              <w:rPr>
                <w:rFonts w:ascii="Arial" w:cs="Arial" w:eastAsia="Arial" w:hAnsi="Arial"/>
                <w:sz w:val="16"/>
                <w:szCs w:val="16"/>
                <w:color w:val="auto"/>
              </w:rPr>
              <w:t>$</w:t>
            </w:r>
          </w:p>
        </w:tc>
        <w:tc>
          <w:tcPr>
            <w:tcW w:w="1520" w:type="dxa"/>
            <w:vAlign w:val="bottom"/>
            <w:shd w:val="clear" w:color="auto" w:fill="CCEDFF"/>
          </w:tcPr>
          <w:p>
            <w:pPr>
              <w:jc w:val="right"/>
              <w:spacing w:after="0" w:line="183" w:lineRule="exact"/>
              <w:rPr>
                <w:sz w:val="20"/>
                <w:szCs w:val="20"/>
                <w:color w:val="auto"/>
              </w:rPr>
            </w:pPr>
            <w:r>
              <w:rPr>
                <w:rFonts w:ascii="Arial" w:cs="Arial" w:eastAsia="Arial" w:hAnsi="Arial"/>
                <w:sz w:val="16"/>
                <w:szCs w:val="16"/>
                <w:color w:val="auto"/>
              </w:rPr>
              <w:t>(2,785)</w:t>
            </w:r>
          </w:p>
        </w:tc>
        <w:tc>
          <w:tcPr>
            <w:tcW w:w="380" w:type="dxa"/>
            <w:vAlign w:val="bottom"/>
            <w:gridSpan w:val="2"/>
            <w:shd w:val="clear" w:color="auto" w:fill="CCEDFF"/>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1460" w:type="dxa"/>
            <w:vAlign w:val="bottom"/>
            <w:shd w:val="clear" w:color="auto" w:fill="CCEDFF"/>
          </w:tcPr>
          <w:p>
            <w:pPr>
              <w:jc w:val="right"/>
              <w:spacing w:after="0" w:line="183" w:lineRule="exact"/>
              <w:rPr>
                <w:sz w:val="20"/>
                <w:szCs w:val="20"/>
                <w:color w:val="auto"/>
              </w:rPr>
            </w:pPr>
            <w:r>
              <w:rPr>
                <w:rFonts w:ascii="Arial" w:cs="Arial" w:eastAsia="Arial" w:hAnsi="Arial"/>
                <w:sz w:val="16"/>
                <w:szCs w:val="16"/>
                <w:color w:val="auto"/>
              </w:rPr>
              <w:t>(13,399)</w:t>
            </w:r>
          </w:p>
        </w:tc>
      </w:tr>
      <w:tr>
        <w:trPr>
          <w:trHeight w:val="189"/>
        </w:trPr>
        <w:tc>
          <w:tcPr>
            <w:tcW w:w="57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538</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613</w:t>
            </w:r>
          </w:p>
        </w:tc>
      </w:tr>
      <w:tr>
        <w:trPr>
          <w:trHeight w:val="183"/>
        </w:trPr>
        <w:tc>
          <w:tcPr>
            <w:tcW w:w="5780" w:type="dxa"/>
            <w:vAlign w:val="bottom"/>
            <w:shd w:val="clear" w:color="auto" w:fill="CCEDFF"/>
          </w:tcPr>
          <w:p>
            <w:pPr>
              <w:spacing w:after="0" w:line="183" w:lineRule="exact"/>
              <w:rPr>
                <w:sz w:val="20"/>
                <w:szCs w:val="20"/>
                <w:color w:val="auto"/>
              </w:rPr>
            </w:pPr>
            <w:r>
              <w:rPr>
                <w:rFonts w:ascii="Arial" w:cs="Arial" w:eastAsia="Arial" w:hAnsi="Arial"/>
                <w:sz w:val="16"/>
                <w:szCs w:val="16"/>
                <w:b w:val="1"/>
                <w:bCs w:val="1"/>
                <w:color w:val="auto"/>
              </w:rPr>
              <w:t>Net change in cash and cash equivalents</w:t>
            </w:r>
          </w:p>
        </w:tc>
        <w:tc>
          <w:tcPr>
            <w:tcW w:w="380" w:type="dxa"/>
            <w:vAlign w:val="bottom"/>
            <w:gridSpan w:val="2"/>
            <w:shd w:val="clear" w:color="auto" w:fill="CCEDFF"/>
          </w:tcPr>
          <w:p>
            <w:pPr>
              <w:jc w:val="right"/>
              <w:ind w:right="160"/>
              <w:spacing w:after="0" w:line="183" w:lineRule="exact"/>
              <w:rPr>
                <w:sz w:val="20"/>
                <w:szCs w:val="20"/>
                <w:color w:val="auto"/>
              </w:rPr>
            </w:pPr>
            <w:r>
              <w:rPr>
                <w:rFonts w:ascii="Arial" w:cs="Arial" w:eastAsia="Arial" w:hAnsi="Arial"/>
                <w:sz w:val="16"/>
                <w:szCs w:val="16"/>
                <w:b w:val="1"/>
                <w:bCs w:val="1"/>
                <w:color w:val="auto"/>
              </w:rPr>
              <w:t>$</w:t>
            </w:r>
          </w:p>
        </w:tc>
        <w:tc>
          <w:tcPr>
            <w:tcW w:w="1440" w:type="dxa"/>
            <w:vAlign w:val="bottom"/>
            <w:shd w:val="clear" w:color="auto" w:fill="CCEDFF"/>
          </w:tcPr>
          <w:p>
            <w:pPr>
              <w:jc w:val="right"/>
              <w:spacing w:after="0" w:line="183" w:lineRule="exact"/>
              <w:rPr>
                <w:sz w:val="20"/>
                <w:szCs w:val="20"/>
                <w:color w:val="auto"/>
              </w:rPr>
            </w:pPr>
            <w:r>
              <w:rPr>
                <w:rFonts w:ascii="Arial" w:cs="Arial" w:eastAsia="Arial" w:hAnsi="Arial"/>
                <w:sz w:val="16"/>
                <w:szCs w:val="16"/>
                <w:b w:val="1"/>
                <w:bCs w:val="1"/>
                <w:color w:val="auto"/>
              </w:rPr>
              <w:t>(2,700)</w:t>
            </w:r>
          </w:p>
        </w:tc>
        <w:tc>
          <w:tcPr>
            <w:tcW w:w="280" w:type="dxa"/>
            <w:vAlign w:val="bottom"/>
            <w:gridSpan w:val="2"/>
            <w:shd w:val="clear" w:color="auto" w:fill="CCEDFF"/>
          </w:tcPr>
          <w:p>
            <w:pPr>
              <w:ind w:left="120"/>
              <w:spacing w:after="0" w:line="183" w:lineRule="exact"/>
              <w:rPr>
                <w:sz w:val="20"/>
                <w:szCs w:val="20"/>
                <w:color w:val="auto"/>
              </w:rPr>
            </w:pPr>
            <w:r>
              <w:rPr>
                <w:rFonts w:ascii="Arial" w:cs="Arial" w:eastAsia="Arial" w:hAnsi="Arial"/>
                <w:sz w:val="16"/>
                <w:szCs w:val="16"/>
                <w:b w:val="1"/>
                <w:bCs w:val="1"/>
                <w:color w:val="auto"/>
              </w:rPr>
              <w:t>$</w:t>
            </w:r>
          </w:p>
        </w:tc>
        <w:tc>
          <w:tcPr>
            <w:tcW w:w="152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b w:val="1"/>
                <w:bCs w:val="1"/>
                <w:color w:val="auto"/>
              </w:rPr>
              <w:t>40,033</w:t>
            </w:r>
          </w:p>
        </w:tc>
        <w:tc>
          <w:tcPr>
            <w:tcW w:w="380" w:type="dxa"/>
            <w:vAlign w:val="bottom"/>
            <w:gridSpan w:val="2"/>
            <w:shd w:val="clear" w:color="auto" w:fill="CCEDFF"/>
          </w:tcPr>
          <w:p>
            <w:pPr>
              <w:jc w:val="right"/>
              <w:ind w:right="160"/>
              <w:spacing w:after="0" w:line="183" w:lineRule="exact"/>
              <w:rPr>
                <w:sz w:val="20"/>
                <w:szCs w:val="20"/>
                <w:color w:val="auto"/>
              </w:rPr>
            </w:pPr>
            <w:r>
              <w:rPr>
                <w:rFonts w:ascii="Arial" w:cs="Arial" w:eastAsia="Arial" w:hAnsi="Arial"/>
                <w:sz w:val="16"/>
                <w:szCs w:val="16"/>
                <w:b w:val="1"/>
                <w:bCs w:val="1"/>
                <w:color w:val="auto"/>
              </w:rPr>
              <w:t>$</w:t>
            </w:r>
          </w:p>
        </w:tc>
        <w:tc>
          <w:tcPr>
            <w:tcW w:w="1460" w:type="dxa"/>
            <w:vAlign w:val="bottom"/>
            <w:shd w:val="clear" w:color="auto" w:fill="CCEDFF"/>
          </w:tcPr>
          <w:p>
            <w:pPr>
              <w:jc w:val="right"/>
              <w:spacing w:after="0" w:line="183" w:lineRule="exact"/>
              <w:rPr>
                <w:sz w:val="20"/>
                <w:szCs w:val="20"/>
                <w:color w:val="auto"/>
              </w:rPr>
            </w:pPr>
            <w:r>
              <w:rPr>
                <w:rFonts w:ascii="Arial" w:cs="Arial" w:eastAsia="Arial" w:hAnsi="Arial"/>
                <w:sz w:val="16"/>
                <w:szCs w:val="16"/>
                <w:b w:val="1"/>
                <w:bCs w:val="1"/>
                <w:color w:val="auto"/>
              </w:rPr>
              <w:t>(5,162)</w:t>
            </w:r>
          </w:p>
        </w:tc>
      </w:tr>
      <w:tr>
        <w:trPr>
          <w:trHeight w:val="973"/>
        </w:trPr>
        <w:tc>
          <w:tcPr>
            <w:tcW w:w="578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CCEDFF"/>
              <w:bottom w:val="single" w:sz="8" w:color="9A9A9A"/>
            </w:tcBorders>
          </w:tcPr>
          <w:p>
            <w:pPr>
              <w:spacing w:after="0"/>
              <w:rPr>
                <w:sz w:val="24"/>
                <w:szCs w:val="24"/>
                <w:color w:val="auto"/>
              </w:rPr>
            </w:pPr>
          </w:p>
        </w:tc>
        <w:tc>
          <w:tcPr>
            <w:tcW w:w="260" w:type="dxa"/>
            <w:vAlign w:val="bottom"/>
            <w:tcBorders>
              <w:top w:val="single" w:sz="8" w:color="auto"/>
              <w:bottom w:val="single" w:sz="8" w:color="9A9A9A"/>
            </w:tcBorders>
          </w:tcPr>
          <w:p>
            <w:pPr>
              <w:spacing w:after="0"/>
              <w:rPr>
                <w:sz w:val="24"/>
                <w:szCs w:val="24"/>
                <w:color w:val="auto"/>
              </w:rPr>
            </w:pPr>
          </w:p>
        </w:tc>
        <w:tc>
          <w:tcPr>
            <w:tcW w:w="144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CCEDFF"/>
              <w:bottom w:val="single" w:sz="8" w:color="9A9A9A"/>
            </w:tcBorders>
          </w:tcPr>
          <w:p>
            <w:pPr>
              <w:spacing w:after="0"/>
              <w:rPr>
                <w:sz w:val="24"/>
                <w:szCs w:val="24"/>
                <w:color w:val="auto"/>
              </w:rPr>
            </w:pPr>
          </w:p>
        </w:tc>
        <w:tc>
          <w:tcPr>
            <w:tcW w:w="160" w:type="dxa"/>
            <w:vAlign w:val="bottom"/>
            <w:tcBorders>
              <w:top w:val="single" w:sz="8" w:color="auto"/>
              <w:bottom w:val="single" w:sz="8" w:color="9A9A9A"/>
            </w:tcBorders>
          </w:tcPr>
          <w:p>
            <w:pPr>
              <w:spacing w:after="0"/>
              <w:rPr>
                <w:sz w:val="24"/>
                <w:szCs w:val="24"/>
                <w:color w:val="auto"/>
              </w:rPr>
            </w:pPr>
          </w:p>
        </w:tc>
        <w:tc>
          <w:tcPr>
            <w:tcW w:w="152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CCEDFF"/>
              <w:bottom w:val="single" w:sz="8" w:color="9A9A9A"/>
            </w:tcBorders>
          </w:tcPr>
          <w:p>
            <w:pPr>
              <w:spacing w:after="0"/>
              <w:rPr>
                <w:sz w:val="24"/>
                <w:szCs w:val="24"/>
                <w:color w:val="auto"/>
              </w:rPr>
            </w:pPr>
          </w:p>
        </w:tc>
        <w:tc>
          <w:tcPr>
            <w:tcW w:w="260" w:type="dxa"/>
            <w:vAlign w:val="bottom"/>
            <w:tcBorders>
              <w:top w:val="single" w:sz="8" w:color="auto"/>
              <w:bottom w:val="single" w:sz="8" w:color="9A9A9A"/>
            </w:tcBorders>
          </w:tcPr>
          <w:p>
            <w:pPr>
              <w:spacing w:after="0"/>
              <w:rPr>
                <w:sz w:val="24"/>
                <w:szCs w:val="24"/>
                <w:color w:val="auto"/>
              </w:rPr>
            </w:pPr>
          </w:p>
        </w:tc>
        <w:tc>
          <w:tcPr>
            <w:tcW w:w="1460" w:type="dxa"/>
            <w:vAlign w:val="bottom"/>
            <w:tcBorders>
              <w:top w:val="single" w:sz="8" w:color="auto"/>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-642620</wp:posOffset>
            </wp:positionV>
            <wp:extent cx="774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-642620</wp:posOffset>
            </wp:positionV>
            <wp:extent cx="768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-642620</wp:posOffset>
            </wp:positionV>
            <wp:extent cx="7683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ectPr>
          <w:pgSz w:w="11900" w:h="16838" w:orient="portrait"/>
          <w:cols w:equalWidth="0" w:num="1">
            <w:col w:w="11240"/>
          </w:cols>
          <w:pgMar w:left="320" w:top="1236" w:right="339" w:bottom="1440" w:gutter="0" w:footer="0" w:header="0"/>
        </w:sectPr>
      </w:pPr>
    </w:p>
    <w:bookmarkStart w:id="11" w:name="page12"/>
    <w:bookmarkEnd w:id="11"/>
    <w:p>
      <w:pPr>
        <w:spacing w:after="0"/>
        <w:rPr>
          <w:sz w:val="20"/>
          <w:szCs w:val="20"/>
          <w:color w:val="auto"/>
        </w:rPr>
      </w:pPr>
      <w:r>
        <w:rPr>
          <w:rFonts w:ascii="Arial" w:cs="Arial" w:eastAsia="Arial" w:hAnsi="Arial"/>
          <w:sz w:val="20"/>
          <w:szCs w:val="20"/>
          <w:b w:val="1"/>
          <w:bCs w:val="1"/>
          <w:u w:val="single" w:color="auto"/>
          <w:color w:val="auto"/>
        </w:rPr>
        <w:drawing>
          <wp:anchor simplePos="0" relativeHeight="251657728" behindDoc="1" locked="0" layoutInCell="0" allowOverlap="1">
            <wp:simplePos x="0" y="0"/>
            <wp:positionH relativeFrom="page">
              <wp:posOffset>5420360</wp:posOffset>
            </wp:positionH>
            <wp:positionV relativeFrom="page">
              <wp:posOffset>252095</wp:posOffset>
            </wp:positionV>
            <wp:extent cx="1920240" cy="4114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1920240" cy="411480"/>
                    </a:xfrm>
                    <a:prstGeom prst="rect">
                      <a:avLst/>
                    </a:prstGeom>
                    <a:noFill/>
                  </pic:spPr>
                </pic:pic>
              </a:graphicData>
            </a:graphic>
          </wp:anchor>
        </w:drawing>
        <w:t>Non-GAAP Measures</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Adjusted EBITDA and Adjusted EBITDA Margin</w:t>
      </w:r>
    </w:p>
    <w:p>
      <w:pPr>
        <w:spacing w:after="0" w:line="94"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We define Adjusted EBITDA (a non-GAAP measure) as net income (loss) before interest (income) expense, income tax expense (benefit), net, depreciation and amortization, (gain) loss on sale of assets and other expense, net, further adjusted to exclude certain items which we believe are not reflective of our ongoing performance or which are non-cash in nature. Management uses Adjusted EBITDA to assess the profitability of our business operations and to compare our operating performance to our competitors without regard to the impact of financing methods and capital structure and excluding costs that management believes do not reflect our ongoing operating performance. We track Adjusted EBITDA on an absolute dollar basis and as a percentage of revenue, which we refer to as Adjusted EBITDA Margin.</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Free Cash Flow</w:t>
      </w:r>
    </w:p>
    <w:p>
      <w:pPr>
        <w:spacing w:after="0" w:line="94"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We also utilize Free Cash Flow (a non-GAAP measure) to evaluate the cash generated by our operations and results of operations. We define Free Cash Flow as net cash provided by operating activities less capital expenditures, as presented in our Consolidated Statements of Cash Flows. Management believes Free Cash Flow is useful because it demonstrates the cash that was available in the period that was in excess of our needs to fund our capital expenditures. We track Free Cash Flow both on an absolute dollar basis and as a percentage of revenue. Free Cash Flow does not represent our residual cash flow available for discretionary expenditures, as we have non-discretionary expenditures, including, but not limited to, any principal payments required under the terms of our credit facility, which are not deducted in calculating Free Cash Flow.</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Return on Capital Employed (ROCE)</w:t>
      </w:r>
    </w:p>
    <w:p>
      <w:pPr>
        <w:spacing w:after="0" w:line="94"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We utilize Return on Capital Employed (“ROCE”) (a non-GAAP measure) to assess the effectiveness of our capital allocation over time and to compare our capital efficiency to our competitors. We define ROCE as income from operations excluding acquisition and integration costs, litigation related expenses not reflective of our ongoing operating performance, and income tax expense (resulting in Adjusted Income from Operations, after tax) divided by average capital employed. Capital employed is defined as the combined values of debt and stockholders’ equity. We revised our definition of ROCE and Adjusted Income from Operations, after tax to exclude litigation related expenses not reflective of our ongoing operating performance, which for the twelve months ended March 31, 2026 is reflective of the costs related to the Impulse Litigation. In particular, we believe that the exclusion of the aforementioned litigation related expenses eliminated in calculating Adjusted Income from Operations, after tax and ROCE provides useful measures for period-to-period comparisons of our business. We did not revise prior years’ Adjusted Income from Operations, after tax or ROCE because there were no other charges similar in nature to these costs.</w:t>
      </w:r>
    </w:p>
    <w:p>
      <w:pPr>
        <w:spacing w:after="0" w:line="64"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Adjusted EBITDA, Adjusted EBITDA Margin, Free Cash Flow and ROCE do not represent and should not be considered alternatives to, or more meaningful than, net income and net cash provided by operating activities, or any other measure of financial performance presented in accordance with GAAP as measures of our financial performance. Our computation of Adjusted EBITDA, Free Cash Flow and ROCE may differ from computations of similarly titled measures of other companies. For a reconciliation of these non-GAAP measures to the most directly comparable GAAP measure, see tables below.</w:t>
      </w:r>
    </w:p>
    <w:p>
      <w:pPr>
        <w:spacing w:after="0" w:line="67"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Management has provided outlook regarding Adjusted EBITDA, which is a non-GAAP financial measure and excludes certain charges. A reconciliation of this non-GAAP financial measure to the corresponding GAAP financial measure has not been provided because guidance for the various reconciling items is not provided. The Company is unable to provide guidance for these reconciling items because they cannot determine their probable significance, as certain items are outside of the Company</w:t>
      </w:r>
      <w:r>
        <w:rPr>
          <w:rFonts w:ascii="Arial" w:cs="Arial" w:eastAsia="Arial" w:hAnsi="Arial"/>
          <w:sz w:val="20"/>
          <w:szCs w:val="20"/>
          <w:color w:val="0000FF"/>
        </w:rPr>
        <w:t>’</w:t>
      </w:r>
      <w:r>
        <w:rPr>
          <w:rFonts w:ascii="Arial" w:cs="Arial" w:eastAsia="Arial" w:hAnsi="Arial"/>
          <w:sz w:val="20"/>
          <w:szCs w:val="20"/>
          <w:color w:val="auto"/>
        </w:rPr>
        <w:t>s control and cannot be reasonably predicted since these items could vary significantly from period to period. Accordingly, reconciliations to the corresponding GAAP financial measures are not available without unreasonable effort.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6"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5420360</wp:posOffset>
            </wp:positionH>
            <wp:positionV relativeFrom="page">
              <wp:posOffset>252095</wp:posOffset>
            </wp:positionV>
            <wp:extent cx="1920240" cy="4114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1920240" cy="411480"/>
                    </a:xfrm>
                    <a:prstGeom prst="rect">
                      <a:avLst/>
                    </a:prstGeom>
                    <a:noFill/>
                  </pic:spPr>
                </pic:pic>
              </a:graphicData>
            </a:graphic>
          </wp:anchor>
        </w:drawing>
        <w:t>Innovex International, Inc.</w:t>
      </w:r>
    </w:p>
    <w:p>
      <w:pPr>
        <w:jc w:val="center"/>
        <w:spacing w:after="0" w:line="231" w:lineRule="auto"/>
        <w:rPr>
          <w:sz w:val="20"/>
          <w:szCs w:val="20"/>
          <w:color w:val="auto"/>
        </w:rPr>
      </w:pPr>
      <w:r>
        <w:rPr>
          <w:rFonts w:ascii="Arial" w:cs="Arial" w:eastAsia="Arial" w:hAnsi="Arial"/>
          <w:sz w:val="20"/>
          <w:szCs w:val="20"/>
          <w:b w:val="1"/>
          <w:bCs w:val="1"/>
          <w:color w:val="auto"/>
        </w:rPr>
        <w:t>Reconciliation of Net Income (Loss) to Adjusted EBITDA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r>
      <w:tr>
        <w:trPr>
          <w:trHeight w:val="168"/>
        </w:trPr>
        <w:tc>
          <w:tcPr>
            <w:tcW w:w="5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jc w:val="right"/>
              <w:ind w:right="519"/>
              <w:spacing w:after="0" w:line="168" w:lineRule="exact"/>
              <w:rPr>
                <w:sz w:val="20"/>
                <w:szCs w:val="20"/>
                <w:color w:val="auto"/>
              </w:rPr>
            </w:pPr>
            <w:r>
              <w:rPr>
                <w:rFonts w:ascii="Arial" w:cs="Arial" w:eastAsia="Arial" w:hAnsi="Arial"/>
                <w:sz w:val="16"/>
                <w:szCs w:val="16"/>
                <w:b w:val="1"/>
                <w:bCs w:val="1"/>
                <w:color w:val="auto"/>
              </w:rPr>
              <w:t>March 31,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jc w:val="center"/>
              <w:ind w:right="279"/>
              <w:spacing w:after="0" w:line="168" w:lineRule="exact"/>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jc w:val="right"/>
              <w:ind w:right="519"/>
              <w:spacing w:after="0" w:line="168" w:lineRule="exact"/>
              <w:rPr>
                <w:sz w:val="20"/>
                <w:szCs w:val="20"/>
                <w:color w:val="auto"/>
              </w:rPr>
            </w:pPr>
            <w:r>
              <w:rPr>
                <w:rFonts w:ascii="Arial" w:cs="Arial" w:eastAsia="Arial" w:hAnsi="Arial"/>
                <w:sz w:val="16"/>
                <w:szCs w:val="16"/>
                <w:b w:val="1"/>
                <w:bCs w:val="1"/>
                <w:color w:val="auto"/>
              </w:rPr>
              <w:t>March 31,</w:t>
            </w:r>
          </w:p>
        </w:tc>
      </w:tr>
      <w:tr>
        <w:trPr>
          <w:trHeight w:val="203"/>
        </w:trPr>
        <w:tc>
          <w:tcPr>
            <w:tcW w:w="59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2026</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2025</w:t>
            </w:r>
          </w:p>
        </w:tc>
      </w:tr>
      <w:tr>
        <w:trPr>
          <w:trHeight w:val="183"/>
        </w:trPr>
        <w:tc>
          <w:tcPr>
            <w:tcW w:w="5900" w:type="dxa"/>
            <w:vAlign w:val="bottom"/>
            <w:gridSpan w:val="2"/>
            <w:shd w:val="clear" w:color="auto" w:fill="CCEDFF"/>
          </w:tcPr>
          <w:p>
            <w:pPr>
              <w:spacing w:after="0" w:line="183" w:lineRule="exact"/>
              <w:rPr>
                <w:sz w:val="20"/>
                <w:szCs w:val="20"/>
                <w:color w:val="auto"/>
              </w:rPr>
            </w:pPr>
            <w:r>
              <w:rPr>
                <w:rFonts w:ascii="Arial" w:cs="Arial" w:eastAsia="Arial" w:hAnsi="Arial"/>
                <w:sz w:val="16"/>
                <w:szCs w:val="16"/>
                <w:color w:val="auto"/>
              </w:rPr>
              <w:t>Revenue</w:t>
            </w:r>
          </w:p>
        </w:tc>
        <w:tc>
          <w:tcPr>
            <w:tcW w:w="200" w:type="dxa"/>
            <w:vAlign w:val="bottom"/>
            <w:shd w:val="clear" w:color="auto" w:fill="CCEDFF"/>
          </w:tcPr>
          <w:p>
            <w:pPr>
              <w:jc w:val="right"/>
              <w:ind w:right="44"/>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DFF"/>
          </w:tcPr>
          <w:p>
            <w:pPr>
              <w:jc w:val="right"/>
              <w:ind w:right="179"/>
              <w:spacing w:after="0" w:line="183" w:lineRule="exact"/>
              <w:rPr>
                <w:sz w:val="20"/>
                <w:szCs w:val="20"/>
                <w:color w:val="auto"/>
              </w:rPr>
            </w:pPr>
            <w:r>
              <w:rPr>
                <w:rFonts w:ascii="Arial" w:cs="Arial" w:eastAsia="Arial" w:hAnsi="Arial"/>
                <w:sz w:val="16"/>
                <w:szCs w:val="16"/>
                <w:color w:val="auto"/>
              </w:rPr>
              <w:t>239,031</w:t>
            </w:r>
          </w:p>
        </w:tc>
        <w:tc>
          <w:tcPr>
            <w:tcW w:w="280" w:type="dxa"/>
            <w:vAlign w:val="bottom"/>
            <w:gridSpan w:val="2"/>
            <w:shd w:val="clear" w:color="auto" w:fill="CCEDFF"/>
          </w:tcPr>
          <w:p>
            <w:pPr>
              <w:jc w:val="right"/>
              <w:spacing w:after="0" w:line="183" w:lineRule="exact"/>
              <w:rPr>
                <w:sz w:val="20"/>
                <w:szCs w:val="20"/>
                <w:color w:val="auto"/>
              </w:rPr>
            </w:pPr>
            <w:r>
              <w:rPr>
                <w:rFonts w:ascii="Arial" w:cs="Arial" w:eastAsia="Arial" w:hAnsi="Arial"/>
                <w:sz w:val="16"/>
                <w:szCs w:val="16"/>
                <w:color w:val="auto"/>
              </w:rPr>
              <w:t>$</w:t>
            </w:r>
          </w:p>
        </w:tc>
        <w:tc>
          <w:tcPr>
            <w:tcW w:w="1540" w:type="dxa"/>
            <w:vAlign w:val="bottom"/>
            <w:shd w:val="clear" w:color="auto" w:fill="CCEDFF"/>
          </w:tcPr>
          <w:p>
            <w:pPr>
              <w:jc w:val="right"/>
              <w:ind w:right="119"/>
              <w:spacing w:after="0" w:line="183" w:lineRule="exact"/>
              <w:rPr>
                <w:sz w:val="20"/>
                <w:szCs w:val="20"/>
                <w:color w:val="auto"/>
              </w:rPr>
            </w:pPr>
            <w:r>
              <w:rPr>
                <w:rFonts w:ascii="Arial" w:cs="Arial" w:eastAsia="Arial" w:hAnsi="Arial"/>
                <w:sz w:val="16"/>
                <w:szCs w:val="16"/>
                <w:color w:val="auto"/>
              </w:rPr>
              <w:t>273,602</w:t>
            </w:r>
          </w:p>
        </w:tc>
        <w:tc>
          <w:tcPr>
            <w:tcW w:w="360" w:type="dxa"/>
            <w:vAlign w:val="bottom"/>
            <w:gridSpan w:val="2"/>
            <w:shd w:val="clear" w:color="auto" w:fill="CCEDFF"/>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480" w:type="dxa"/>
            <w:vAlign w:val="bottom"/>
            <w:shd w:val="clear" w:color="auto" w:fill="CCEDFF"/>
          </w:tcPr>
          <w:p>
            <w:pPr>
              <w:jc w:val="right"/>
              <w:ind w:right="139"/>
              <w:spacing w:after="0" w:line="183" w:lineRule="exact"/>
              <w:rPr>
                <w:sz w:val="20"/>
                <w:szCs w:val="20"/>
                <w:color w:val="auto"/>
              </w:rPr>
            </w:pPr>
            <w:r>
              <w:rPr>
                <w:rFonts w:ascii="Arial" w:cs="Arial" w:eastAsia="Arial" w:hAnsi="Arial"/>
                <w:sz w:val="16"/>
                <w:szCs w:val="16"/>
                <w:color w:val="auto"/>
              </w:rPr>
              <w:t>240,415</w:t>
            </w:r>
          </w:p>
        </w:tc>
      </w:tr>
      <w:tr>
        <w:trPr>
          <w:trHeight w:val="189"/>
        </w:trPr>
        <w:tc>
          <w:tcPr>
            <w:tcW w:w="5900" w:type="dxa"/>
            <w:vAlign w:val="bottom"/>
            <w:gridSpan w:val="2"/>
          </w:tcPr>
          <w:p>
            <w:pPr>
              <w:spacing w:after="0"/>
              <w:rPr>
                <w:sz w:val="20"/>
                <w:szCs w:val="20"/>
                <w:color w:val="auto"/>
              </w:rPr>
            </w:pPr>
            <w:r>
              <w:rPr>
                <w:rFonts w:ascii="Arial" w:cs="Arial" w:eastAsia="Arial" w:hAnsi="Arial"/>
                <w:sz w:val="16"/>
                <w:szCs w:val="16"/>
                <w:color w:val="auto"/>
              </w:rPr>
              <w:t>Net income (loss)</w:t>
            </w:r>
          </w:p>
        </w:tc>
        <w:tc>
          <w:tcPr>
            <w:tcW w:w="200" w:type="dxa"/>
            <w:vAlign w:val="bottom"/>
          </w:tcPr>
          <w:p>
            <w:pPr>
              <w:spacing w:after="0"/>
              <w:rPr>
                <w:sz w:val="16"/>
                <w:szCs w:val="16"/>
                <w:color w:val="auto"/>
              </w:rPr>
            </w:pPr>
          </w:p>
        </w:tc>
        <w:tc>
          <w:tcPr>
            <w:tcW w:w="1480" w:type="dxa"/>
            <w:vAlign w:val="bottom"/>
          </w:tcPr>
          <w:p>
            <w:pPr>
              <w:jc w:val="right"/>
              <w:ind w:right="119"/>
              <w:spacing w:after="0"/>
              <w:rPr>
                <w:sz w:val="20"/>
                <w:szCs w:val="20"/>
                <w:color w:val="auto"/>
              </w:rPr>
            </w:pPr>
            <w:r>
              <w:rPr>
                <w:rFonts w:ascii="Arial" w:cs="Arial" w:eastAsia="Arial" w:hAnsi="Arial"/>
                <w:sz w:val="16"/>
                <w:szCs w:val="16"/>
                <w:color w:val="auto"/>
              </w:rPr>
              <w:t>(16,671)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13,968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ind w:right="139"/>
              <w:spacing w:after="0"/>
              <w:rPr>
                <w:sz w:val="20"/>
                <w:szCs w:val="20"/>
                <w:color w:val="auto"/>
              </w:rPr>
            </w:pPr>
            <w:r>
              <w:rPr>
                <w:rFonts w:ascii="Arial" w:cs="Arial" w:eastAsia="Arial" w:hAnsi="Arial"/>
                <w:sz w:val="16"/>
                <w:szCs w:val="16"/>
                <w:color w:val="auto"/>
              </w:rPr>
              <w:t>14,757</w:t>
            </w:r>
          </w:p>
        </w:tc>
      </w:tr>
      <w:tr>
        <w:trPr>
          <w:trHeight w:val="189"/>
        </w:trPr>
        <w:tc>
          <w:tcPr>
            <w:tcW w:w="5900" w:type="dxa"/>
            <w:vAlign w:val="bottom"/>
            <w:gridSpan w:val="2"/>
            <w:shd w:val="clear" w:color="auto" w:fill="CCEDFF"/>
          </w:tcPr>
          <w:p>
            <w:pPr>
              <w:spacing w:after="0"/>
              <w:rPr>
                <w:sz w:val="20"/>
                <w:szCs w:val="20"/>
                <w:color w:val="auto"/>
              </w:rPr>
            </w:pPr>
            <w:r>
              <w:rPr>
                <w:rFonts w:ascii="Arial" w:cs="Arial" w:eastAsia="Arial" w:hAnsi="Arial"/>
                <w:sz w:val="16"/>
                <w:szCs w:val="16"/>
                <w:color w:val="auto"/>
              </w:rPr>
              <w:t>Interest (income) expense, net</w:t>
            </w:r>
          </w:p>
        </w:tc>
        <w:tc>
          <w:tcPr>
            <w:tcW w:w="200" w:type="dxa"/>
            <w:vAlign w:val="bottom"/>
            <w:shd w:val="clear" w:color="auto" w:fill="CCEDFF"/>
          </w:tcPr>
          <w:p>
            <w:pPr>
              <w:spacing w:after="0"/>
              <w:rPr>
                <w:sz w:val="16"/>
                <w:szCs w:val="16"/>
                <w:color w:val="auto"/>
              </w:rPr>
            </w:pPr>
          </w:p>
        </w:tc>
        <w:tc>
          <w:tcPr>
            <w:tcW w:w="1480" w:type="dxa"/>
            <w:vAlign w:val="bottom"/>
            <w:shd w:val="clear" w:color="auto" w:fill="CCEDFF"/>
          </w:tcPr>
          <w:p>
            <w:pPr>
              <w:jc w:val="right"/>
              <w:ind w:right="119"/>
              <w:spacing w:after="0"/>
              <w:rPr>
                <w:sz w:val="20"/>
                <w:szCs w:val="20"/>
                <w:color w:val="auto"/>
              </w:rPr>
            </w:pPr>
            <w:r>
              <w:rPr>
                <w:rFonts w:ascii="Arial" w:cs="Arial" w:eastAsia="Arial" w:hAnsi="Arial"/>
                <w:sz w:val="16"/>
                <w:szCs w:val="16"/>
                <w:color w:val="auto"/>
              </w:rPr>
              <w:t>(388)</w:t>
            </w:r>
          </w:p>
        </w:tc>
        <w:tc>
          <w:tcPr>
            <w:tcW w:w="120" w:type="dxa"/>
            <w:vAlign w:val="bottom"/>
            <w:shd w:val="clear" w:color="auto" w:fill="CCEDFF"/>
          </w:tcPr>
          <w:p>
            <w:pPr>
              <w:spacing w:after="0"/>
              <w:rPr>
                <w:sz w:val="16"/>
                <w:szCs w:val="16"/>
                <w:color w:val="auto"/>
              </w:rPr>
            </w:pPr>
          </w:p>
        </w:tc>
        <w:tc>
          <w:tcPr>
            <w:tcW w:w="160" w:type="dxa"/>
            <w:vAlign w:val="bottom"/>
            <w:shd w:val="clear" w:color="auto" w:fill="CCEDFF"/>
          </w:tcPr>
          <w:p>
            <w:pPr>
              <w:spacing w:after="0"/>
              <w:rPr>
                <w:sz w:val="16"/>
                <w:szCs w:val="16"/>
                <w:color w:val="auto"/>
              </w:rPr>
            </w:pPr>
          </w:p>
        </w:tc>
        <w:tc>
          <w:tcPr>
            <w:tcW w:w="1540" w:type="dxa"/>
            <w:vAlign w:val="bottom"/>
            <w:shd w:val="clear" w:color="auto" w:fill="CCEDFF"/>
          </w:tcPr>
          <w:p>
            <w:pPr>
              <w:jc w:val="right"/>
              <w:ind w:right="119"/>
              <w:spacing w:after="0"/>
              <w:rPr>
                <w:sz w:val="20"/>
                <w:szCs w:val="20"/>
                <w:color w:val="auto"/>
              </w:rPr>
            </w:pPr>
            <w:r>
              <w:rPr>
                <w:rFonts w:ascii="Arial" w:cs="Arial" w:eastAsia="Arial" w:hAnsi="Arial"/>
                <w:sz w:val="16"/>
                <w:szCs w:val="16"/>
                <w:color w:val="auto"/>
              </w:rPr>
              <w:t>654</w:t>
            </w:r>
          </w:p>
        </w:tc>
        <w:tc>
          <w:tcPr>
            <w:tcW w:w="120" w:type="dxa"/>
            <w:vAlign w:val="bottom"/>
            <w:shd w:val="clear" w:color="auto" w:fill="CCEDFF"/>
          </w:tcPr>
          <w:p>
            <w:pPr>
              <w:spacing w:after="0"/>
              <w:rPr>
                <w:sz w:val="16"/>
                <w:szCs w:val="16"/>
                <w:color w:val="auto"/>
              </w:rPr>
            </w:pPr>
          </w:p>
        </w:tc>
        <w:tc>
          <w:tcPr>
            <w:tcW w:w="240" w:type="dxa"/>
            <w:vAlign w:val="bottom"/>
            <w:shd w:val="clear" w:color="auto" w:fill="CCEDFF"/>
          </w:tcPr>
          <w:p>
            <w:pPr>
              <w:spacing w:after="0"/>
              <w:rPr>
                <w:sz w:val="16"/>
                <w:szCs w:val="16"/>
                <w:color w:val="auto"/>
              </w:rPr>
            </w:pPr>
          </w:p>
        </w:tc>
        <w:tc>
          <w:tcPr>
            <w:tcW w:w="1480" w:type="dxa"/>
            <w:vAlign w:val="bottom"/>
            <w:shd w:val="clear" w:color="auto" w:fill="CCEDFF"/>
          </w:tcPr>
          <w:p>
            <w:pPr>
              <w:jc w:val="right"/>
              <w:ind w:right="139"/>
              <w:spacing w:after="0"/>
              <w:rPr>
                <w:sz w:val="20"/>
                <w:szCs w:val="20"/>
                <w:color w:val="auto"/>
              </w:rPr>
            </w:pPr>
            <w:r>
              <w:rPr>
                <w:rFonts w:ascii="Arial" w:cs="Arial" w:eastAsia="Arial" w:hAnsi="Arial"/>
                <w:sz w:val="16"/>
                <w:szCs w:val="16"/>
                <w:color w:val="auto"/>
              </w:rPr>
              <w:t>700</w:t>
            </w:r>
          </w:p>
        </w:tc>
      </w:tr>
      <w:tr>
        <w:trPr>
          <w:trHeight w:val="189"/>
        </w:trPr>
        <w:tc>
          <w:tcPr>
            <w:tcW w:w="5900" w:type="dxa"/>
            <w:vAlign w:val="bottom"/>
            <w:gridSpan w:val="2"/>
          </w:tcPr>
          <w:p>
            <w:pPr>
              <w:spacing w:after="0"/>
              <w:rPr>
                <w:sz w:val="20"/>
                <w:szCs w:val="20"/>
                <w:color w:val="auto"/>
              </w:rPr>
            </w:pPr>
            <w:r>
              <w:rPr>
                <w:rFonts w:ascii="Arial" w:cs="Arial" w:eastAsia="Arial" w:hAnsi="Arial"/>
                <w:sz w:val="16"/>
                <w:szCs w:val="16"/>
                <w:color w:val="auto"/>
              </w:rPr>
              <w:t>Income tax expense (benefit), net</w:t>
            </w:r>
          </w:p>
        </w:tc>
        <w:tc>
          <w:tcPr>
            <w:tcW w:w="200" w:type="dxa"/>
            <w:vAlign w:val="bottom"/>
          </w:tcPr>
          <w:p>
            <w:pPr>
              <w:spacing w:after="0"/>
              <w:rPr>
                <w:sz w:val="16"/>
                <w:szCs w:val="16"/>
                <w:color w:val="auto"/>
              </w:rPr>
            </w:pPr>
          </w:p>
        </w:tc>
        <w:tc>
          <w:tcPr>
            <w:tcW w:w="1480" w:type="dxa"/>
            <w:vAlign w:val="bottom"/>
          </w:tcPr>
          <w:p>
            <w:pPr>
              <w:jc w:val="right"/>
              <w:ind w:right="119"/>
              <w:spacing w:after="0"/>
              <w:rPr>
                <w:sz w:val="20"/>
                <w:szCs w:val="20"/>
                <w:color w:val="auto"/>
              </w:rPr>
            </w:pPr>
            <w:r>
              <w:rPr>
                <w:rFonts w:ascii="Arial" w:cs="Arial" w:eastAsia="Arial" w:hAnsi="Arial"/>
                <w:sz w:val="16"/>
                <w:szCs w:val="16"/>
                <w:color w:val="auto"/>
              </w:rPr>
              <w:t>(4,923)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12,999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ind w:right="139"/>
              <w:spacing w:after="0"/>
              <w:rPr>
                <w:sz w:val="20"/>
                <w:szCs w:val="20"/>
                <w:color w:val="auto"/>
              </w:rPr>
            </w:pPr>
            <w:r>
              <w:rPr>
                <w:rFonts w:ascii="Arial" w:cs="Arial" w:eastAsia="Arial" w:hAnsi="Arial"/>
                <w:sz w:val="16"/>
                <w:szCs w:val="16"/>
                <w:color w:val="auto"/>
              </w:rPr>
              <w:t>6,607</w:t>
            </w:r>
          </w:p>
        </w:tc>
      </w:tr>
      <w:tr>
        <w:trPr>
          <w:trHeight w:val="189"/>
        </w:trPr>
        <w:tc>
          <w:tcPr>
            <w:tcW w:w="5780" w:type="dxa"/>
            <w:vAlign w:val="bottom"/>
            <w:tcBorders>
              <w:bottom w:val="single" w:sz="8" w:color="auto"/>
            </w:tcBorders>
            <w:shd w:val="clear" w:color="auto" w:fill="CCEDFF"/>
          </w:tcPr>
          <w:p>
            <w:pPr>
              <w:spacing w:after="0"/>
              <w:rPr>
                <w:sz w:val="20"/>
                <w:szCs w:val="20"/>
                <w:color w:val="auto"/>
              </w:rPr>
            </w:pPr>
            <w:r>
              <w:rPr>
                <w:rFonts w:ascii="Arial" w:cs="Arial" w:eastAsia="Arial" w:hAnsi="Arial"/>
                <w:sz w:val="16"/>
                <w:szCs w:val="16"/>
                <w:color w:val="auto"/>
              </w:rPr>
              <w:t>Depreciation and amortization</w:t>
            </w:r>
          </w:p>
        </w:tc>
        <w:tc>
          <w:tcPr>
            <w:tcW w:w="120" w:type="dxa"/>
            <w:vAlign w:val="bottom"/>
            <w:tcBorders>
              <w:bottom w:val="single" w:sz="8" w:color="CCEDFF"/>
            </w:tcBorders>
            <w:shd w:val="clear" w:color="auto" w:fill="CCEDFF"/>
          </w:tcPr>
          <w:p>
            <w:pPr>
              <w:spacing w:after="0"/>
              <w:rPr>
                <w:sz w:val="16"/>
                <w:szCs w:val="16"/>
                <w:color w:val="auto"/>
              </w:rPr>
            </w:pPr>
          </w:p>
        </w:tc>
        <w:tc>
          <w:tcPr>
            <w:tcW w:w="200" w:type="dxa"/>
            <w:vAlign w:val="bottom"/>
            <w:tcBorders>
              <w:bottom w:val="single" w:sz="8" w:color="auto"/>
            </w:tcBorders>
            <w:shd w:val="clear" w:color="auto" w:fill="CCEDFF"/>
          </w:tcPr>
          <w:p>
            <w:pPr>
              <w:spacing w:after="0"/>
              <w:rPr>
                <w:sz w:val="16"/>
                <w:szCs w:val="16"/>
                <w:color w:val="auto"/>
              </w:rPr>
            </w:pPr>
          </w:p>
        </w:tc>
        <w:tc>
          <w:tcPr>
            <w:tcW w:w="1480" w:type="dxa"/>
            <w:vAlign w:val="bottom"/>
            <w:tcBorders>
              <w:bottom w:val="single" w:sz="8" w:color="auto"/>
            </w:tcBorders>
            <w:shd w:val="clear" w:color="auto" w:fill="CCEDFF"/>
          </w:tcPr>
          <w:p>
            <w:pPr>
              <w:jc w:val="right"/>
              <w:ind w:right="179"/>
              <w:spacing w:after="0"/>
              <w:rPr>
                <w:sz w:val="20"/>
                <w:szCs w:val="20"/>
                <w:color w:val="auto"/>
              </w:rPr>
            </w:pPr>
            <w:r>
              <w:rPr>
                <w:rFonts w:ascii="Arial" w:cs="Arial" w:eastAsia="Arial" w:hAnsi="Arial"/>
                <w:sz w:val="16"/>
                <w:szCs w:val="16"/>
                <w:color w:val="auto"/>
              </w:rPr>
              <w:t>16,222</w:t>
            </w:r>
          </w:p>
        </w:tc>
        <w:tc>
          <w:tcPr>
            <w:tcW w:w="120" w:type="dxa"/>
            <w:vAlign w:val="bottom"/>
            <w:tcBorders>
              <w:bottom w:val="single" w:sz="8" w:color="CCEDFF"/>
            </w:tcBorders>
            <w:shd w:val="clear" w:color="auto" w:fill="CCEDFF"/>
          </w:tcPr>
          <w:p>
            <w:pPr>
              <w:spacing w:after="0"/>
              <w:rPr>
                <w:sz w:val="16"/>
                <w:szCs w:val="16"/>
                <w:color w:val="auto"/>
              </w:rPr>
            </w:pPr>
          </w:p>
        </w:tc>
        <w:tc>
          <w:tcPr>
            <w:tcW w:w="160" w:type="dxa"/>
            <w:vAlign w:val="bottom"/>
            <w:tcBorders>
              <w:bottom w:val="single" w:sz="8" w:color="auto"/>
            </w:tcBorders>
            <w:shd w:val="clear" w:color="auto" w:fill="CCEDFF"/>
          </w:tcPr>
          <w:p>
            <w:pPr>
              <w:spacing w:after="0"/>
              <w:rPr>
                <w:sz w:val="16"/>
                <w:szCs w:val="16"/>
                <w:color w:val="auto"/>
              </w:rPr>
            </w:pPr>
          </w:p>
        </w:tc>
        <w:tc>
          <w:tcPr>
            <w:tcW w:w="1540" w:type="dxa"/>
            <w:vAlign w:val="bottom"/>
            <w:tcBorders>
              <w:bottom w:val="single" w:sz="8" w:color="auto"/>
            </w:tcBorders>
            <w:shd w:val="clear" w:color="auto" w:fill="CCEDFF"/>
          </w:tcPr>
          <w:p>
            <w:pPr>
              <w:jc w:val="right"/>
              <w:ind w:right="119"/>
              <w:spacing w:after="0"/>
              <w:rPr>
                <w:sz w:val="20"/>
                <w:szCs w:val="20"/>
                <w:color w:val="auto"/>
              </w:rPr>
            </w:pPr>
            <w:r>
              <w:rPr>
                <w:rFonts w:ascii="Arial" w:cs="Arial" w:eastAsia="Arial" w:hAnsi="Arial"/>
                <w:sz w:val="16"/>
                <w:szCs w:val="16"/>
                <w:color w:val="auto"/>
              </w:rPr>
              <w:t>15,461</w:t>
            </w:r>
          </w:p>
        </w:tc>
        <w:tc>
          <w:tcPr>
            <w:tcW w:w="120" w:type="dxa"/>
            <w:vAlign w:val="bottom"/>
            <w:tcBorders>
              <w:bottom w:val="single" w:sz="8" w:color="CCEDFF"/>
            </w:tcBorders>
            <w:shd w:val="clear" w:color="auto" w:fill="CCEDFF"/>
          </w:tcPr>
          <w:p>
            <w:pPr>
              <w:spacing w:after="0"/>
              <w:rPr>
                <w:sz w:val="16"/>
                <w:szCs w:val="16"/>
                <w:color w:val="auto"/>
              </w:rPr>
            </w:pPr>
          </w:p>
        </w:tc>
        <w:tc>
          <w:tcPr>
            <w:tcW w:w="240" w:type="dxa"/>
            <w:vAlign w:val="bottom"/>
            <w:tcBorders>
              <w:bottom w:val="single" w:sz="8" w:color="auto"/>
            </w:tcBorders>
            <w:shd w:val="clear" w:color="auto" w:fill="CCEDFF"/>
          </w:tcPr>
          <w:p>
            <w:pPr>
              <w:spacing w:after="0"/>
              <w:rPr>
                <w:sz w:val="16"/>
                <w:szCs w:val="16"/>
                <w:color w:val="auto"/>
              </w:rPr>
            </w:pPr>
          </w:p>
        </w:tc>
        <w:tc>
          <w:tcPr>
            <w:tcW w:w="1480" w:type="dxa"/>
            <w:vAlign w:val="bottom"/>
            <w:tcBorders>
              <w:bottom w:val="single" w:sz="8" w:color="auto"/>
            </w:tcBorders>
            <w:shd w:val="clear" w:color="auto" w:fill="CCEDFF"/>
          </w:tcPr>
          <w:p>
            <w:pPr>
              <w:jc w:val="right"/>
              <w:ind w:right="139"/>
              <w:spacing w:after="0"/>
              <w:rPr>
                <w:sz w:val="20"/>
                <w:szCs w:val="20"/>
                <w:color w:val="auto"/>
              </w:rPr>
            </w:pPr>
            <w:r>
              <w:rPr>
                <w:rFonts w:ascii="Arial" w:cs="Arial" w:eastAsia="Arial" w:hAnsi="Arial"/>
                <w:sz w:val="16"/>
                <w:szCs w:val="16"/>
                <w:color w:val="auto"/>
              </w:rPr>
              <w:t>14,945</w:t>
            </w:r>
          </w:p>
        </w:tc>
      </w:tr>
      <w:tr>
        <w:trPr>
          <w:trHeight w:val="183"/>
        </w:trPr>
        <w:tc>
          <w:tcPr>
            <w:tcW w:w="5900" w:type="dxa"/>
            <w:vAlign w:val="bottom"/>
            <w:gridSpan w:val="2"/>
          </w:tcPr>
          <w:p>
            <w:pPr>
              <w:ind w:left="160"/>
              <w:spacing w:after="0" w:line="183" w:lineRule="exact"/>
              <w:rPr>
                <w:sz w:val="20"/>
                <w:szCs w:val="20"/>
                <w:color w:val="auto"/>
              </w:rPr>
            </w:pPr>
            <w:r>
              <w:rPr>
                <w:rFonts w:ascii="Arial" w:cs="Arial" w:eastAsia="Arial" w:hAnsi="Arial"/>
                <w:sz w:val="16"/>
                <w:szCs w:val="16"/>
                <w:b w:val="1"/>
                <w:bCs w:val="1"/>
                <w:color w:val="auto"/>
              </w:rPr>
              <w:t>EBITDA</w:t>
            </w:r>
          </w:p>
        </w:tc>
        <w:tc>
          <w:tcPr>
            <w:tcW w:w="200" w:type="dxa"/>
            <w:vAlign w:val="bottom"/>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1480" w:type="dxa"/>
            <w:vAlign w:val="bottom"/>
          </w:tcPr>
          <w:p>
            <w:pPr>
              <w:jc w:val="right"/>
              <w:ind w:right="119"/>
              <w:spacing w:after="0" w:line="183" w:lineRule="exact"/>
              <w:rPr>
                <w:sz w:val="20"/>
                <w:szCs w:val="20"/>
                <w:color w:val="auto"/>
              </w:rPr>
            </w:pPr>
            <w:r>
              <w:rPr>
                <w:rFonts w:ascii="Arial" w:cs="Arial" w:eastAsia="Arial" w:hAnsi="Arial"/>
                <w:sz w:val="16"/>
                <w:szCs w:val="16"/>
                <w:b w:val="1"/>
                <w:bCs w:val="1"/>
                <w:color w:val="auto"/>
              </w:rPr>
              <w:t>(5,760)</w:t>
            </w:r>
          </w:p>
        </w:tc>
        <w:tc>
          <w:tcPr>
            <w:tcW w:w="280" w:type="dxa"/>
            <w:vAlign w:val="bottom"/>
            <w:gridSpan w:val="2"/>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540" w:type="dxa"/>
            <w:vAlign w:val="bottom"/>
          </w:tcPr>
          <w:p>
            <w:pPr>
              <w:jc w:val="right"/>
              <w:ind w:right="119"/>
              <w:spacing w:after="0" w:line="183" w:lineRule="exact"/>
              <w:rPr>
                <w:sz w:val="20"/>
                <w:szCs w:val="20"/>
                <w:color w:val="auto"/>
              </w:rPr>
            </w:pPr>
            <w:r>
              <w:rPr>
                <w:rFonts w:ascii="Arial" w:cs="Arial" w:eastAsia="Arial" w:hAnsi="Arial"/>
                <w:sz w:val="16"/>
                <w:szCs w:val="16"/>
                <w:b w:val="1"/>
                <w:bCs w:val="1"/>
                <w:color w:val="auto"/>
              </w:rPr>
              <w:t>43,082</w:t>
            </w:r>
          </w:p>
        </w:tc>
        <w:tc>
          <w:tcPr>
            <w:tcW w:w="360" w:type="dxa"/>
            <w:vAlign w:val="bottom"/>
            <w:gridSpan w:val="2"/>
          </w:tcPr>
          <w:p>
            <w:pPr>
              <w:jc w:val="right"/>
              <w:ind w:right="59"/>
              <w:spacing w:after="0" w:line="183" w:lineRule="exact"/>
              <w:rPr>
                <w:sz w:val="20"/>
                <w:szCs w:val="20"/>
                <w:color w:val="auto"/>
              </w:rPr>
            </w:pPr>
            <w:r>
              <w:rPr>
                <w:rFonts w:ascii="Arial" w:cs="Arial" w:eastAsia="Arial" w:hAnsi="Arial"/>
                <w:sz w:val="16"/>
                <w:szCs w:val="16"/>
                <w:b w:val="1"/>
                <w:bCs w:val="1"/>
                <w:color w:val="auto"/>
              </w:rPr>
              <w:t>$</w:t>
            </w:r>
          </w:p>
        </w:tc>
        <w:tc>
          <w:tcPr>
            <w:tcW w:w="1480" w:type="dxa"/>
            <w:vAlign w:val="bottom"/>
          </w:tcPr>
          <w:p>
            <w:pPr>
              <w:jc w:val="right"/>
              <w:ind w:right="139"/>
              <w:spacing w:after="0" w:line="183" w:lineRule="exact"/>
              <w:rPr>
                <w:sz w:val="20"/>
                <w:szCs w:val="20"/>
                <w:color w:val="auto"/>
              </w:rPr>
            </w:pPr>
            <w:r>
              <w:rPr>
                <w:rFonts w:ascii="Arial" w:cs="Arial" w:eastAsia="Arial" w:hAnsi="Arial"/>
                <w:sz w:val="16"/>
                <w:szCs w:val="16"/>
                <w:b w:val="1"/>
                <w:bCs w:val="1"/>
                <w:color w:val="auto"/>
              </w:rPr>
              <w:t>37,009</w:t>
            </w:r>
          </w:p>
        </w:tc>
      </w:tr>
      <w:tr>
        <w:trPr>
          <w:trHeight w:val="189"/>
        </w:trPr>
        <w:tc>
          <w:tcPr>
            <w:tcW w:w="5900" w:type="dxa"/>
            <w:vAlign w:val="bottom"/>
            <w:gridSpan w:val="2"/>
            <w:shd w:val="clear" w:color="auto" w:fill="CCEDFF"/>
          </w:tcPr>
          <w:p>
            <w:pPr>
              <w:spacing w:after="0" w:line="189" w:lineRule="exact"/>
              <w:rPr>
                <w:sz w:val="20"/>
                <w:szCs w:val="20"/>
                <w:color w:val="auto"/>
              </w:rPr>
            </w:pPr>
            <w:r>
              <w:rPr>
                <w:rFonts w:ascii="Arial" w:cs="Arial" w:eastAsia="Arial" w:hAnsi="Arial"/>
                <w:sz w:val="16"/>
                <w:szCs w:val="16"/>
                <w:color w:val="auto"/>
              </w:rPr>
              <w:t xml:space="preserve">Other non-operating expense (income), net </w:t>
            </w:r>
            <w:r>
              <w:rPr>
                <w:rFonts w:ascii="Arial" w:cs="Arial" w:eastAsia="Arial" w:hAnsi="Arial"/>
                <w:sz w:val="21"/>
                <w:szCs w:val="21"/>
                <w:color w:val="auto"/>
                <w:vertAlign w:val="superscript"/>
              </w:rPr>
              <w:t>(1)</w:t>
            </w:r>
          </w:p>
        </w:tc>
        <w:tc>
          <w:tcPr>
            <w:tcW w:w="200" w:type="dxa"/>
            <w:vAlign w:val="bottom"/>
            <w:shd w:val="clear" w:color="auto" w:fill="CCEDFF"/>
          </w:tcPr>
          <w:p>
            <w:pPr>
              <w:spacing w:after="0"/>
              <w:rPr>
                <w:sz w:val="16"/>
                <w:szCs w:val="16"/>
                <w:color w:val="auto"/>
              </w:rPr>
            </w:pPr>
          </w:p>
        </w:tc>
        <w:tc>
          <w:tcPr>
            <w:tcW w:w="1480" w:type="dxa"/>
            <w:vAlign w:val="bottom"/>
            <w:shd w:val="clear" w:color="auto" w:fill="CCEDFF"/>
          </w:tcPr>
          <w:p>
            <w:pPr>
              <w:jc w:val="right"/>
              <w:ind w:right="179"/>
              <w:spacing w:after="0"/>
              <w:rPr>
                <w:sz w:val="20"/>
                <w:szCs w:val="20"/>
                <w:color w:val="auto"/>
              </w:rPr>
            </w:pPr>
            <w:r>
              <w:rPr>
                <w:rFonts w:ascii="Arial" w:cs="Arial" w:eastAsia="Arial" w:hAnsi="Arial"/>
                <w:sz w:val="16"/>
                <w:szCs w:val="16"/>
                <w:color w:val="auto"/>
              </w:rPr>
              <w:t>150</w:t>
            </w:r>
          </w:p>
        </w:tc>
        <w:tc>
          <w:tcPr>
            <w:tcW w:w="120" w:type="dxa"/>
            <w:vAlign w:val="bottom"/>
            <w:shd w:val="clear" w:color="auto" w:fill="CCEDFF"/>
          </w:tcPr>
          <w:p>
            <w:pPr>
              <w:spacing w:after="0"/>
              <w:rPr>
                <w:sz w:val="16"/>
                <w:szCs w:val="16"/>
                <w:color w:val="auto"/>
              </w:rPr>
            </w:pPr>
          </w:p>
        </w:tc>
        <w:tc>
          <w:tcPr>
            <w:tcW w:w="160" w:type="dxa"/>
            <w:vAlign w:val="bottom"/>
            <w:shd w:val="clear" w:color="auto" w:fill="CCEDFF"/>
          </w:tcPr>
          <w:p>
            <w:pPr>
              <w:spacing w:after="0"/>
              <w:rPr>
                <w:sz w:val="16"/>
                <w:szCs w:val="16"/>
                <w:color w:val="auto"/>
              </w:rPr>
            </w:pPr>
          </w:p>
        </w:tc>
        <w:tc>
          <w:tcPr>
            <w:tcW w:w="1540" w:type="dxa"/>
            <w:vAlign w:val="bottom"/>
            <w:shd w:val="clear" w:color="auto" w:fill="CCEDFF"/>
          </w:tcPr>
          <w:p>
            <w:pPr>
              <w:jc w:val="right"/>
              <w:ind w:right="59"/>
              <w:spacing w:after="0"/>
              <w:rPr>
                <w:sz w:val="20"/>
                <w:szCs w:val="20"/>
                <w:color w:val="auto"/>
              </w:rPr>
            </w:pPr>
            <w:r>
              <w:rPr>
                <w:rFonts w:ascii="Arial" w:cs="Arial" w:eastAsia="Arial" w:hAnsi="Arial"/>
                <w:sz w:val="16"/>
                <w:szCs w:val="16"/>
                <w:color w:val="auto"/>
              </w:rPr>
              <w:t>(1,825)</w:t>
            </w:r>
          </w:p>
        </w:tc>
        <w:tc>
          <w:tcPr>
            <w:tcW w:w="120" w:type="dxa"/>
            <w:vAlign w:val="bottom"/>
            <w:shd w:val="clear" w:color="auto" w:fill="CCEDFF"/>
          </w:tcPr>
          <w:p>
            <w:pPr>
              <w:spacing w:after="0"/>
              <w:rPr>
                <w:sz w:val="16"/>
                <w:szCs w:val="16"/>
                <w:color w:val="auto"/>
              </w:rPr>
            </w:pPr>
          </w:p>
        </w:tc>
        <w:tc>
          <w:tcPr>
            <w:tcW w:w="240" w:type="dxa"/>
            <w:vAlign w:val="bottom"/>
            <w:shd w:val="clear" w:color="auto" w:fill="CCEDFF"/>
          </w:tcPr>
          <w:p>
            <w:pPr>
              <w:spacing w:after="0"/>
              <w:rPr>
                <w:sz w:val="16"/>
                <w:szCs w:val="16"/>
                <w:color w:val="auto"/>
              </w:rPr>
            </w:pPr>
          </w:p>
        </w:tc>
        <w:tc>
          <w:tcPr>
            <w:tcW w:w="1480" w:type="dxa"/>
            <w:vAlign w:val="bottom"/>
            <w:shd w:val="clear" w:color="auto" w:fill="CCEDFF"/>
          </w:tcPr>
          <w:p>
            <w:pPr>
              <w:jc w:val="right"/>
              <w:ind w:right="59"/>
              <w:spacing w:after="0"/>
              <w:rPr>
                <w:sz w:val="20"/>
                <w:szCs w:val="20"/>
                <w:color w:val="auto"/>
              </w:rPr>
            </w:pPr>
            <w:r>
              <w:rPr>
                <w:rFonts w:ascii="Arial" w:cs="Arial" w:eastAsia="Arial" w:hAnsi="Arial"/>
                <w:sz w:val="16"/>
                <w:szCs w:val="16"/>
                <w:color w:val="auto"/>
              </w:rPr>
              <w:t>(214)</w:t>
            </w:r>
          </w:p>
        </w:tc>
      </w:tr>
      <w:tr>
        <w:trPr>
          <w:trHeight w:val="189"/>
        </w:trPr>
        <w:tc>
          <w:tcPr>
            <w:tcW w:w="5900" w:type="dxa"/>
            <w:vAlign w:val="bottom"/>
            <w:gridSpan w:val="2"/>
          </w:tcPr>
          <w:p>
            <w:pPr>
              <w:spacing w:after="0"/>
              <w:rPr>
                <w:sz w:val="20"/>
                <w:szCs w:val="20"/>
                <w:color w:val="auto"/>
              </w:rPr>
            </w:pPr>
            <w:r>
              <w:rPr>
                <w:rFonts w:ascii="Arial" w:cs="Arial" w:eastAsia="Arial" w:hAnsi="Arial"/>
                <w:sz w:val="16"/>
                <w:szCs w:val="16"/>
                <w:color w:val="auto"/>
              </w:rPr>
              <w:t>(Gain) loss on sale of assets</w:t>
            </w:r>
          </w:p>
        </w:tc>
        <w:tc>
          <w:tcPr>
            <w:tcW w:w="200" w:type="dxa"/>
            <w:vAlign w:val="bottom"/>
          </w:tcPr>
          <w:p>
            <w:pPr>
              <w:spacing w:after="0"/>
              <w:rPr>
                <w:sz w:val="16"/>
                <w:szCs w:val="16"/>
                <w:color w:val="auto"/>
              </w:rPr>
            </w:pPr>
          </w:p>
        </w:tc>
        <w:tc>
          <w:tcPr>
            <w:tcW w:w="1480" w:type="dxa"/>
            <w:vAlign w:val="bottom"/>
          </w:tcPr>
          <w:p>
            <w:pPr>
              <w:jc w:val="right"/>
              <w:ind w:right="119"/>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1,364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ind w:right="139"/>
              <w:spacing w:after="0"/>
              <w:rPr>
                <w:sz w:val="20"/>
                <w:szCs w:val="20"/>
                <w:color w:val="auto"/>
              </w:rPr>
            </w:pPr>
            <w:r>
              <w:rPr>
                <w:rFonts w:ascii="Arial" w:cs="Arial" w:eastAsia="Arial" w:hAnsi="Arial"/>
                <w:sz w:val="16"/>
                <w:szCs w:val="16"/>
                <w:color w:val="auto"/>
              </w:rPr>
              <w:t>148</w:t>
            </w:r>
          </w:p>
        </w:tc>
      </w:tr>
      <w:tr>
        <w:trPr>
          <w:trHeight w:val="189"/>
        </w:trPr>
        <w:tc>
          <w:tcPr>
            <w:tcW w:w="5900" w:type="dxa"/>
            <w:vAlign w:val="bottom"/>
            <w:gridSpan w:val="2"/>
            <w:shd w:val="clear" w:color="auto" w:fill="CCEDFF"/>
          </w:tcPr>
          <w:p>
            <w:pPr>
              <w:spacing w:after="0"/>
              <w:rPr>
                <w:sz w:val="20"/>
                <w:szCs w:val="20"/>
                <w:color w:val="auto"/>
              </w:rPr>
            </w:pPr>
            <w:r>
              <w:rPr>
                <w:rFonts w:ascii="Arial" w:cs="Arial" w:eastAsia="Arial" w:hAnsi="Arial"/>
                <w:sz w:val="16"/>
                <w:szCs w:val="16"/>
                <w:color w:val="auto"/>
              </w:rPr>
              <w:t>Impairment of long-lived assets</w:t>
            </w:r>
          </w:p>
        </w:tc>
        <w:tc>
          <w:tcPr>
            <w:tcW w:w="200" w:type="dxa"/>
            <w:vAlign w:val="bottom"/>
            <w:shd w:val="clear" w:color="auto" w:fill="CCEDFF"/>
          </w:tcPr>
          <w:p>
            <w:pPr>
              <w:spacing w:after="0"/>
              <w:rPr>
                <w:sz w:val="16"/>
                <w:szCs w:val="16"/>
                <w:color w:val="auto"/>
              </w:rPr>
            </w:pPr>
          </w:p>
        </w:tc>
        <w:tc>
          <w:tcPr>
            <w:tcW w:w="1480" w:type="dxa"/>
            <w:vAlign w:val="bottom"/>
            <w:shd w:val="clear" w:color="auto" w:fill="CCEDFF"/>
          </w:tcPr>
          <w:p>
            <w:pPr>
              <w:jc w:val="right"/>
              <w:ind w:right="17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DFF"/>
          </w:tcPr>
          <w:p>
            <w:pPr>
              <w:spacing w:after="0"/>
              <w:rPr>
                <w:sz w:val="16"/>
                <w:szCs w:val="16"/>
                <w:color w:val="auto"/>
              </w:rPr>
            </w:pPr>
          </w:p>
        </w:tc>
        <w:tc>
          <w:tcPr>
            <w:tcW w:w="160" w:type="dxa"/>
            <w:vAlign w:val="bottom"/>
            <w:shd w:val="clear" w:color="auto" w:fill="CCEDFF"/>
          </w:tcPr>
          <w:p>
            <w:pPr>
              <w:spacing w:after="0"/>
              <w:rPr>
                <w:sz w:val="16"/>
                <w:szCs w:val="16"/>
                <w:color w:val="auto"/>
              </w:rPr>
            </w:pPr>
          </w:p>
        </w:tc>
        <w:tc>
          <w:tcPr>
            <w:tcW w:w="1540" w:type="dxa"/>
            <w:vAlign w:val="bottom"/>
            <w:shd w:val="clear" w:color="auto" w:fill="CCEDFF"/>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DFF"/>
          </w:tcPr>
          <w:p>
            <w:pPr>
              <w:spacing w:after="0"/>
              <w:rPr>
                <w:sz w:val="16"/>
                <w:szCs w:val="16"/>
                <w:color w:val="auto"/>
              </w:rPr>
            </w:pPr>
          </w:p>
        </w:tc>
        <w:tc>
          <w:tcPr>
            <w:tcW w:w="240" w:type="dxa"/>
            <w:vAlign w:val="bottom"/>
            <w:shd w:val="clear" w:color="auto" w:fill="CCEDFF"/>
          </w:tcPr>
          <w:p>
            <w:pPr>
              <w:spacing w:after="0"/>
              <w:rPr>
                <w:sz w:val="16"/>
                <w:szCs w:val="16"/>
                <w:color w:val="auto"/>
              </w:rPr>
            </w:pPr>
          </w:p>
        </w:tc>
        <w:tc>
          <w:tcPr>
            <w:tcW w:w="1480" w:type="dxa"/>
            <w:vAlign w:val="bottom"/>
            <w:shd w:val="clear" w:color="auto" w:fill="CCEDFF"/>
          </w:tcPr>
          <w:p>
            <w:pPr>
              <w:jc w:val="right"/>
              <w:ind w:right="139"/>
              <w:spacing w:after="0"/>
              <w:rPr>
                <w:sz w:val="20"/>
                <w:szCs w:val="20"/>
                <w:color w:val="auto"/>
              </w:rPr>
            </w:pPr>
            <w:r>
              <w:rPr>
                <w:rFonts w:ascii="Arial" w:cs="Arial" w:eastAsia="Arial" w:hAnsi="Arial"/>
                <w:sz w:val="16"/>
                <w:szCs w:val="16"/>
                <w:color w:val="auto"/>
              </w:rPr>
              <w:t>2,924</w:t>
            </w:r>
          </w:p>
        </w:tc>
      </w:tr>
      <w:tr>
        <w:trPr>
          <w:trHeight w:val="189"/>
        </w:trPr>
        <w:tc>
          <w:tcPr>
            <w:tcW w:w="5900" w:type="dxa"/>
            <w:vAlign w:val="bottom"/>
            <w:gridSpan w:val="2"/>
          </w:tcPr>
          <w:p>
            <w:pPr>
              <w:spacing w:after="0" w:line="189" w:lineRule="exact"/>
              <w:rPr>
                <w:sz w:val="20"/>
                <w:szCs w:val="20"/>
                <w:color w:val="auto"/>
              </w:rPr>
            </w:pPr>
            <w:r>
              <w:rPr>
                <w:rFonts w:ascii="Arial" w:cs="Arial" w:eastAsia="Arial" w:hAnsi="Arial"/>
                <w:sz w:val="16"/>
                <w:szCs w:val="16"/>
                <w:color w:val="auto"/>
              </w:rPr>
              <w:t xml:space="preserve">Acquisition and integration costs </w:t>
            </w:r>
            <w:r>
              <w:rPr>
                <w:rFonts w:ascii="Arial" w:cs="Arial" w:eastAsia="Arial" w:hAnsi="Arial"/>
                <w:sz w:val="21"/>
                <w:szCs w:val="21"/>
                <w:color w:val="auto"/>
                <w:vertAlign w:val="superscript"/>
              </w:rPr>
              <w:t>(2)</w:t>
            </w:r>
          </w:p>
        </w:tc>
        <w:tc>
          <w:tcPr>
            <w:tcW w:w="200" w:type="dxa"/>
            <w:vAlign w:val="bottom"/>
          </w:tcPr>
          <w:p>
            <w:pPr>
              <w:spacing w:after="0"/>
              <w:rPr>
                <w:sz w:val="16"/>
                <w:szCs w:val="16"/>
                <w:color w:val="auto"/>
              </w:rPr>
            </w:pPr>
          </w:p>
        </w:tc>
        <w:tc>
          <w:tcPr>
            <w:tcW w:w="1480" w:type="dxa"/>
            <w:vAlign w:val="bottom"/>
          </w:tcPr>
          <w:p>
            <w:pPr>
              <w:jc w:val="right"/>
              <w:ind w:right="179"/>
              <w:spacing w:after="0"/>
              <w:rPr>
                <w:sz w:val="20"/>
                <w:szCs w:val="20"/>
                <w:color w:val="auto"/>
              </w:rPr>
            </w:pPr>
            <w:r>
              <w:rPr>
                <w:rFonts w:ascii="Arial" w:cs="Arial" w:eastAsia="Arial" w:hAnsi="Arial"/>
                <w:sz w:val="16"/>
                <w:szCs w:val="16"/>
                <w:color w:val="auto"/>
              </w:rPr>
              <w:t>1,588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4,458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ind w:right="139"/>
              <w:spacing w:after="0"/>
              <w:rPr>
                <w:sz w:val="20"/>
                <w:szCs w:val="20"/>
                <w:color w:val="auto"/>
              </w:rPr>
            </w:pPr>
            <w:r>
              <w:rPr>
                <w:rFonts w:ascii="Arial" w:cs="Arial" w:eastAsia="Arial" w:hAnsi="Arial"/>
                <w:sz w:val="16"/>
                <w:szCs w:val="16"/>
                <w:color w:val="auto"/>
              </w:rPr>
              <w:t>4,288</w:t>
            </w:r>
          </w:p>
        </w:tc>
      </w:tr>
      <w:tr>
        <w:trPr>
          <w:trHeight w:val="189"/>
        </w:trPr>
        <w:tc>
          <w:tcPr>
            <w:tcW w:w="5900" w:type="dxa"/>
            <w:vAlign w:val="bottom"/>
            <w:gridSpan w:val="2"/>
            <w:shd w:val="clear" w:color="auto" w:fill="CCEDFF"/>
          </w:tcPr>
          <w:p>
            <w:pPr>
              <w:spacing w:after="0" w:line="189" w:lineRule="exact"/>
              <w:rPr>
                <w:sz w:val="20"/>
                <w:szCs w:val="20"/>
                <w:color w:val="auto"/>
              </w:rPr>
            </w:pPr>
            <w:r>
              <w:rPr>
                <w:rFonts w:ascii="Arial" w:cs="Arial" w:eastAsia="Arial" w:hAnsi="Arial"/>
                <w:sz w:val="16"/>
                <w:szCs w:val="16"/>
                <w:color w:val="auto"/>
              </w:rPr>
              <w:t xml:space="preserve">Provision for legal settlement </w:t>
            </w:r>
            <w:r>
              <w:rPr>
                <w:rFonts w:ascii="Arial" w:cs="Arial" w:eastAsia="Arial" w:hAnsi="Arial"/>
                <w:sz w:val="21"/>
                <w:szCs w:val="21"/>
                <w:color w:val="auto"/>
                <w:vertAlign w:val="superscript"/>
              </w:rPr>
              <w:t>(3)</w:t>
            </w:r>
          </w:p>
        </w:tc>
        <w:tc>
          <w:tcPr>
            <w:tcW w:w="200" w:type="dxa"/>
            <w:vAlign w:val="bottom"/>
            <w:shd w:val="clear" w:color="auto" w:fill="CCEDFF"/>
          </w:tcPr>
          <w:p>
            <w:pPr>
              <w:spacing w:after="0"/>
              <w:rPr>
                <w:sz w:val="16"/>
                <w:szCs w:val="16"/>
                <w:color w:val="auto"/>
              </w:rPr>
            </w:pPr>
          </w:p>
        </w:tc>
        <w:tc>
          <w:tcPr>
            <w:tcW w:w="1480" w:type="dxa"/>
            <w:vAlign w:val="bottom"/>
            <w:shd w:val="clear" w:color="auto" w:fill="CCEDFF"/>
          </w:tcPr>
          <w:p>
            <w:pPr>
              <w:jc w:val="right"/>
              <w:ind w:right="179"/>
              <w:spacing w:after="0"/>
              <w:rPr>
                <w:sz w:val="20"/>
                <w:szCs w:val="20"/>
                <w:color w:val="auto"/>
              </w:rPr>
            </w:pPr>
            <w:r>
              <w:rPr>
                <w:rFonts w:ascii="Arial" w:cs="Arial" w:eastAsia="Arial" w:hAnsi="Arial"/>
                <w:sz w:val="16"/>
                <w:szCs w:val="16"/>
                <w:color w:val="auto"/>
              </w:rPr>
              <w:t>48,803</w:t>
            </w:r>
          </w:p>
        </w:tc>
        <w:tc>
          <w:tcPr>
            <w:tcW w:w="120" w:type="dxa"/>
            <w:vAlign w:val="bottom"/>
            <w:shd w:val="clear" w:color="auto" w:fill="CCEDFF"/>
          </w:tcPr>
          <w:p>
            <w:pPr>
              <w:spacing w:after="0"/>
              <w:rPr>
                <w:sz w:val="16"/>
                <w:szCs w:val="16"/>
                <w:color w:val="auto"/>
              </w:rPr>
            </w:pPr>
          </w:p>
        </w:tc>
        <w:tc>
          <w:tcPr>
            <w:tcW w:w="160" w:type="dxa"/>
            <w:vAlign w:val="bottom"/>
            <w:shd w:val="clear" w:color="auto" w:fill="CCEDFF"/>
          </w:tcPr>
          <w:p>
            <w:pPr>
              <w:spacing w:after="0"/>
              <w:rPr>
                <w:sz w:val="16"/>
                <w:szCs w:val="16"/>
                <w:color w:val="auto"/>
              </w:rPr>
            </w:pPr>
          </w:p>
        </w:tc>
        <w:tc>
          <w:tcPr>
            <w:tcW w:w="1540" w:type="dxa"/>
            <w:vAlign w:val="bottom"/>
            <w:shd w:val="clear" w:color="auto" w:fill="CCEDFF"/>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DFF"/>
          </w:tcPr>
          <w:p>
            <w:pPr>
              <w:spacing w:after="0"/>
              <w:rPr>
                <w:sz w:val="16"/>
                <w:szCs w:val="16"/>
                <w:color w:val="auto"/>
              </w:rPr>
            </w:pPr>
          </w:p>
        </w:tc>
        <w:tc>
          <w:tcPr>
            <w:tcW w:w="240" w:type="dxa"/>
            <w:vAlign w:val="bottom"/>
            <w:shd w:val="clear" w:color="auto" w:fill="CCEDFF"/>
          </w:tcPr>
          <w:p>
            <w:pPr>
              <w:spacing w:after="0"/>
              <w:rPr>
                <w:sz w:val="16"/>
                <w:szCs w:val="16"/>
                <w:color w:val="auto"/>
              </w:rPr>
            </w:pPr>
          </w:p>
        </w:tc>
        <w:tc>
          <w:tcPr>
            <w:tcW w:w="1480" w:type="dxa"/>
            <w:vAlign w:val="bottom"/>
            <w:shd w:val="clear" w:color="auto" w:fill="CCEDFF"/>
          </w:tcPr>
          <w:p>
            <w:pPr>
              <w:jc w:val="right"/>
              <w:ind w:right="139"/>
              <w:spacing w:after="0"/>
              <w:rPr>
                <w:sz w:val="20"/>
                <w:szCs w:val="20"/>
                <w:color w:val="auto"/>
              </w:rPr>
            </w:pPr>
            <w:r>
              <w:rPr>
                <w:rFonts w:ascii="Arial" w:cs="Arial" w:eastAsia="Arial" w:hAnsi="Arial"/>
                <w:sz w:val="16"/>
                <w:szCs w:val="16"/>
                <w:color w:val="auto"/>
              </w:rPr>
              <w:t>—</w:t>
            </w:r>
          </w:p>
        </w:tc>
      </w:tr>
      <w:tr>
        <w:trPr>
          <w:trHeight w:val="189"/>
        </w:trPr>
        <w:tc>
          <w:tcPr>
            <w:tcW w:w="5900" w:type="dxa"/>
            <w:vAlign w:val="bottom"/>
            <w:gridSpan w:val="2"/>
          </w:tcPr>
          <w:p>
            <w:pPr>
              <w:spacing w:after="0" w:line="189" w:lineRule="exact"/>
              <w:rPr>
                <w:sz w:val="20"/>
                <w:szCs w:val="20"/>
                <w:color w:val="auto"/>
              </w:rPr>
            </w:pPr>
            <w:r>
              <w:rPr>
                <w:rFonts w:ascii="Arial" w:cs="Arial" w:eastAsia="Arial" w:hAnsi="Arial"/>
                <w:sz w:val="16"/>
                <w:szCs w:val="16"/>
                <w:color w:val="auto"/>
              </w:rPr>
              <w:t xml:space="preserve">Legal defense costs </w:t>
            </w:r>
            <w:r>
              <w:rPr>
                <w:rFonts w:ascii="Arial" w:cs="Arial" w:eastAsia="Arial" w:hAnsi="Arial"/>
                <w:sz w:val="21"/>
                <w:szCs w:val="21"/>
                <w:color w:val="auto"/>
                <w:vertAlign w:val="superscript"/>
              </w:rPr>
              <w:t>(4)</w:t>
            </w:r>
          </w:p>
        </w:tc>
        <w:tc>
          <w:tcPr>
            <w:tcW w:w="200" w:type="dxa"/>
            <w:vAlign w:val="bottom"/>
          </w:tcPr>
          <w:p>
            <w:pPr>
              <w:spacing w:after="0"/>
              <w:rPr>
                <w:sz w:val="16"/>
                <w:szCs w:val="16"/>
                <w:color w:val="auto"/>
              </w:rPr>
            </w:pPr>
          </w:p>
        </w:tc>
        <w:tc>
          <w:tcPr>
            <w:tcW w:w="1480" w:type="dxa"/>
            <w:vAlign w:val="bottom"/>
          </w:tcPr>
          <w:p>
            <w:pPr>
              <w:jc w:val="right"/>
              <w:ind w:right="179"/>
              <w:spacing w:after="0"/>
              <w:rPr>
                <w:sz w:val="20"/>
                <w:szCs w:val="20"/>
                <w:color w:val="auto"/>
              </w:rPr>
            </w:pPr>
            <w:r>
              <w:rPr>
                <w:rFonts w:ascii="Arial" w:cs="Arial" w:eastAsia="Arial" w:hAnsi="Arial"/>
                <w:sz w:val="16"/>
                <w:szCs w:val="16"/>
                <w:color w:val="auto"/>
              </w:rPr>
              <w:t>2,430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189"/>
        </w:trPr>
        <w:tc>
          <w:tcPr>
            <w:tcW w:w="5900" w:type="dxa"/>
            <w:vAlign w:val="bottom"/>
            <w:gridSpan w:val="2"/>
            <w:shd w:val="clear" w:color="auto" w:fill="CCEDFF"/>
          </w:tcPr>
          <w:p>
            <w:pPr>
              <w:spacing w:after="0" w:line="189" w:lineRule="exact"/>
              <w:rPr>
                <w:sz w:val="20"/>
                <w:szCs w:val="20"/>
                <w:color w:val="auto"/>
              </w:rPr>
            </w:pPr>
            <w:r>
              <w:rPr>
                <w:rFonts w:ascii="Arial" w:cs="Arial" w:eastAsia="Arial" w:hAnsi="Arial"/>
                <w:sz w:val="16"/>
                <w:szCs w:val="16"/>
                <w:color w:val="auto"/>
              </w:rPr>
              <w:t xml:space="preserve">Transaction costs </w:t>
            </w:r>
            <w:r>
              <w:rPr>
                <w:rFonts w:ascii="Arial" w:cs="Arial" w:eastAsia="Arial" w:hAnsi="Arial"/>
                <w:sz w:val="21"/>
                <w:szCs w:val="21"/>
                <w:color w:val="auto"/>
                <w:vertAlign w:val="superscript"/>
              </w:rPr>
              <w:t>(5)</w:t>
            </w:r>
          </w:p>
        </w:tc>
        <w:tc>
          <w:tcPr>
            <w:tcW w:w="200" w:type="dxa"/>
            <w:vAlign w:val="bottom"/>
            <w:shd w:val="clear" w:color="auto" w:fill="CCEDFF"/>
          </w:tcPr>
          <w:p>
            <w:pPr>
              <w:spacing w:after="0"/>
              <w:rPr>
                <w:sz w:val="16"/>
                <w:szCs w:val="16"/>
                <w:color w:val="auto"/>
              </w:rPr>
            </w:pPr>
          </w:p>
        </w:tc>
        <w:tc>
          <w:tcPr>
            <w:tcW w:w="1480" w:type="dxa"/>
            <w:vAlign w:val="bottom"/>
            <w:shd w:val="clear" w:color="auto" w:fill="CCEDFF"/>
          </w:tcPr>
          <w:p>
            <w:pPr>
              <w:jc w:val="right"/>
              <w:ind w:right="179"/>
              <w:spacing w:after="0"/>
              <w:rPr>
                <w:sz w:val="20"/>
                <w:szCs w:val="20"/>
                <w:color w:val="auto"/>
              </w:rPr>
            </w:pPr>
            <w:r>
              <w:rPr>
                <w:rFonts w:ascii="Arial" w:cs="Arial" w:eastAsia="Arial" w:hAnsi="Arial"/>
                <w:sz w:val="16"/>
                <w:szCs w:val="16"/>
                <w:color w:val="auto"/>
              </w:rPr>
              <w:t>1,128</w:t>
            </w:r>
          </w:p>
        </w:tc>
        <w:tc>
          <w:tcPr>
            <w:tcW w:w="120" w:type="dxa"/>
            <w:vAlign w:val="bottom"/>
            <w:shd w:val="clear" w:color="auto" w:fill="CCEDFF"/>
          </w:tcPr>
          <w:p>
            <w:pPr>
              <w:spacing w:after="0"/>
              <w:rPr>
                <w:sz w:val="16"/>
                <w:szCs w:val="16"/>
                <w:color w:val="auto"/>
              </w:rPr>
            </w:pPr>
          </w:p>
        </w:tc>
        <w:tc>
          <w:tcPr>
            <w:tcW w:w="160" w:type="dxa"/>
            <w:vAlign w:val="bottom"/>
            <w:shd w:val="clear" w:color="auto" w:fill="CCEDFF"/>
          </w:tcPr>
          <w:p>
            <w:pPr>
              <w:spacing w:after="0"/>
              <w:rPr>
                <w:sz w:val="16"/>
                <w:szCs w:val="16"/>
                <w:color w:val="auto"/>
              </w:rPr>
            </w:pPr>
          </w:p>
        </w:tc>
        <w:tc>
          <w:tcPr>
            <w:tcW w:w="1540" w:type="dxa"/>
            <w:vAlign w:val="bottom"/>
            <w:shd w:val="clear" w:color="auto" w:fill="CCEDFF"/>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DFF"/>
          </w:tcPr>
          <w:p>
            <w:pPr>
              <w:spacing w:after="0"/>
              <w:rPr>
                <w:sz w:val="16"/>
                <w:szCs w:val="16"/>
                <w:color w:val="auto"/>
              </w:rPr>
            </w:pPr>
          </w:p>
        </w:tc>
        <w:tc>
          <w:tcPr>
            <w:tcW w:w="240" w:type="dxa"/>
            <w:vAlign w:val="bottom"/>
            <w:shd w:val="clear" w:color="auto" w:fill="CCEDFF"/>
          </w:tcPr>
          <w:p>
            <w:pPr>
              <w:spacing w:after="0"/>
              <w:rPr>
                <w:sz w:val="16"/>
                <w:szCs w:val="16"/>
                <w:color w:val="auto"/>
              </w:rPr>
            </w:pPr>
          </w:p>
        </w:tc>
        <w:tc>
          <w:tcPr>
            <w:tcW w:w="1480" w:type="dxa"/>
            <w:vAlign w:val="bottom"/>
            <w:shd w:val="clear" w:color="auto" w:fill="CCEDFF"/>
          </w:tcPr>
          <w:p>
            <w:pPr>
              <w:jc w:val="right"/>
              <w:ind w:right="139"/>
              <w:spacing w:after="0"/>
              <w:rPr>
                <w:sz w:val="20"/>
                <w:szCs w:val="20"/>
                <w:color w:val="auto"/>
              </w:rPr>
            </w:pPr>
            <w:r>
              <w:rPr>
                <w:rFonts w:ascii="Arial" w:cs="Arial" w:eastAsia="Arial" w:hAnsi="Arial"/>
                <w:sz w:val="16"/>
                <w:szCs w:val="16"/>
                <w:color w:val="auto"/>
              </w:rPr>
              <w:t>—</w:t>
            </w:r>
          </w:p>
        </w:tc>
      </w:tr>
      <w:tr>
        <w:trPr>
          <w:trHeight w:val="189"/>
        </w:trPr>
        <w:tc>
          <w:tcPr>
            <w:tcW w:w="5900" w:type="dxa"/>
            <w:vAlign w:val="bottom"/>
            <w:gridSpan w:val="2"/>
          </w:tcPr>
          <w:p>
            <w:pPr>
              <w:spacing w:after="0"/>
              <w:rPr>
                <w:sz w:val="20"/>
                <w:szCs w:val="20"/>
                <w:color w:val="auto"/>
              </w:rPr>
            </w:pPr>
            <w:r>
              <w:rPr>
                <w:rFonts w:ascii="Arial" w:cs="Arial" w:eastAsia="Arial" w:hAnsi="Arial"/>
                <w:sz w:val="16"/>
                <w:szCs w:val="16"/>
                <w:color w:val="auto"/>
              </w:rPr>
              <w:t>Stock based compensation</w:t>
            </w:r>
          </w:p>
        </w:tc>
        <w:tc>
          <w:tcPr>
            <w:tcW w:w="200" w:type="dxa"/>
            <w:vAlign w:val="bottom"/>
          </w:tcPr>
          <w:p>
            <w:pPr>
              <w:spacing w:after="0"/>
              <w:rPr>
                <w:sz w:val="16"/>
                <w:szCs w:val="16"/>
                <w:color w:val="auto"/>
              </w:rPr>
            </w:pPr>
          </w:p>
        </w:tc>
        <w:tc>
          <w:tcPr>
            <w:tcW w:w="1480" w:type="dxa"/>
            <w:vAlign w:val="bottom"/>
          </w:tcPr>
          <w:p>
            <w:pPr>
              <w:jc w:val="right"/>
              <w:ind w:right="179"/>
              <w:spacing w:after="0"/>
              <w:rPr>
                <w:sz w:val="20"/>
                <w:szCs w:val="20"/>
                <w:color w:val="auto"/>
              </w:rPr>
            </w:pPr>
            <w:r>
              <w:rPr>
                <w:rFonts w:ascii="Arial" w:cs="Arial" w:eastAsia="Arial" w:hAnsi="Arial"/>
                <w:sz w:val="16"/>
                <w:szCs w:val="16"/>
                <w:color w:val="auto"/>
              </w:rPr>
              <w:t>2,967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5,029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ind w:right="139"/>
              <w:spacing w:after="0"/>
              <w:rPr>
                <w:sz w:val="20"/>
                <w:szCs w:val="20"/>
                <w:color w:val="auto"/>
              </w:rPr>
            </w:pPr>
            <w:r>
              <w:rPr>
                <w:rFonts w:ascii="Arial" w:cs="Arial" w:eastAsia="Arial" w:hAnsi="Arial"/>
                <w:sz w:val="16"/>
                <w:szCs w:val="16"/>
                <w:color w:val="auto"/>
              </w:rPr>
              <w:t>1,766</w:t>
            </w:r>
          </w:p>
        </w:tc>
      </w:tr>
      <w:tr>
        <w:trPr>
          <w:trHeight w:val="183"/>
        </w:trPr>
        <w:tc>
          <w:tcPr>
            <w:tcW w:w="5780" w:type="dxa"/>
            <w:vAlign w:val="bottom"/>
            <w:tcBorders>
              <w:top w:val="single" w:sz="8" w:color="auto"/>
            </w:tcBorders>
            <w:shd w:val="clear" w:color="auto" w:fill="CCEDFF"/>
          </w:tcPr>
          <w:p>
            <w:pPr>
              <w:ind w:left="160"/>
              <w:spacing w:after="0" w:line="183" w:lineRule="exact"/>
              <w:rPr>
                <w:sz w:val="20"/>
                <w:szCs w:val="20"/>
                <w:color w:val="auto"/>
              </w:rPr>
            </w:pPr>
            <w:r>
              <w:rPr>
                <w:rFonts w:ascii="Arial" w:cs="Arial" w:eastAsia="Arial" w:hAnsi="Arial"/>
                <w:sz w:val="16"/>
                <w:szCs w:val="16"/>
                <w:b w:val="1"/>
                <w:bCs w:val="1"/>
                <w:color w:val="auto"/>
              </w:rPr>
              <w:t>Adjusted EBITDA</w:t>
            </w:r>
          </w:p>
        </w:tc>
        <w:tc>
          <w:tcPr>
            <w:tcW w:w="120" w:type="dxa"/>
            <w:vAlign w:val="bottom"/>
            <w:tcBorders>
              <w:top w:val="single" w:sz="8" w:color="CCEDFF"/>
            </w:tcBorders>
            <w:shd w:val="clear" w:color="auto" w:fill="CCEDFF"/>
          </w:tcPr>
          <w:p>
            <w:pPr>
              <w:spacing w:after="0"/>
              <w:rPr>
                <w:sz w:val="15"/>
                <w:szCs w:val="15"/>
                <w:color w:val="auto"/>
              </w:rPr>
            </w:pPr>
          </w:p>
        </w:tc>
        <w:tc>
          <w:tcPr>
            <w:tcW w:w="200" w:type="dxa"/>
            <w:vAlign w:val="bottom"/>
            <w:tcBorders>
              <w:top w:val="single" w:sz="8" w:color="auto"/>
            </w:tcBorders>
            <w:shd w:val="clear" w:color="auto" w:fill="CCEDFF"/>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1480" w:type="dxa"/>
            <w:vAlign w:val="bottom"/>
            <w:tcBorders>
              <w:top w:val="single" w:sz="8" w:color="auto"/>
            </w:tcBorders>
            <w:shd w:val="clear" w:color="auto" w:fill="CCEDFF"/>
          </w:tcPr>
          <w:p>
            <w:pPr>
              <w:jc w:val="right"/>
              <w:ind w:right="179"/>
              <w:spacing w:after="0" w:line="183" w:lineRule="exact"/>
              <w:rPr>
                <w:sz w:val="20"/>
                <w:szCs w:val="20"/>
                <w:color w:val="auto"/>
              </w:rPr>
            </w:pPr>
            <w:r>
              <w:rPr>
                <w:rFonts w:ascii="Arial" w:cs="Arial" w:eastAsia="Arial" w:hAnsi="Arial"/>
                <w:sz w:val="16"/>
                <w:szCs w:val="16"/>
                <w:b w:val="1"/>
                <w:bCs w:val="1"/>
                <w:color w:val="auto"/>
              </w:rPr>
              <w:t>49,286</w:t>
            </w:r>
          </w:p>
        </w:tc>
        <w:tc>
          <w:tcPr>
            <w:tcW w:w="120" w:type="dxa"/>
            <w:vAlign w:val="bottom"/>
            <w:tcBorders>
              <w:top w:val="single" w:sz="8" w:color="CCEDFF"/>
            </w:tcBorders>
            <w:shd w:val="clear" w:color="auto" w:fill="CCEDFF"/>
          </w:tcPr>
          <w:p>
            <w:pPr>
              <w:spacing w:after="0"/>
              <w:rPr>
                <w:sz w:val="15"/>
                <w:szCs w:val="15"/>
                <w:color w:val="auto"/>
              </w:rPr>
            </w:pPr>
          </w:p>
        </w:tc>
        <w:tc>
          <w:tcPr>
            <w:tcW w:w="160" w:type="dxa"/>
            <w:vAlign w:val="bottom"/>
            <w:tcBorders>
              <w:top w:val="single" w:sz="8" w:color="auto"/>
            </w:tcBorders>
            <w:shd w:val="clear" w:color="auto" w:fill="CCEDFF"/>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540" w:type="dxa"/>
            <w:vAlign w:val="bottom"/>
            <w:tcBorders>
              <w:top w:val="single" w:sz="8" w:color="auto"/>
            </w:tcBorders>
            <w:shd w:val="clear" w:color="auto" w:fill="CCEDFF"/>
          </w:tcPr>
          <w:p>
            <w:pPr>
              <w:jc w:val="right"/>
              <w:ind w:right="119"/>
              <w:spacing w:after="0" w:line="183" w:lineRule="exact"/>
              <w:rPr>
                <w:sz w:val="20"/>
                <w:szCs w:val="20"/>
                <w:color w:val="auto"/>
              </w:rPr>
            </w:pPr>
            <w:r>
              <w:rPr>
                <w:rFonts w:ascii="Arial" w:cs="Arial" w:eastAsia="Arial" w:hAnsi="Arial"/>
                <w:sz w:val="16"/>
                <w:szCs w:val="16"/>
                <w:b w:val="1"/>
                <w:bCs w:val="1"/>
                <w:color w:val="auto"/>
              </w:rPr>
              <w:t>52,108</w:t>
            </w:r>
          </w:p>
        </w:tc>
        <w:tc>
          <w:tcPr>
            <w:tcW w:w="120" w:type="dxa"/>
            <w:vAlign w:val="bottom"/>
            <w:tcBorders>
              <w:top w:val="single" w:sz="8" w:color="CCEDFF"/>
            </w:tcBorders>
            <w:shd w:val="clear" w:color="auto" w:fill="CCEDFF"/>
          </w:tcPr>
          <w:p>
            <w:pPr>
              <w:spacing w:after="0"/>
              <w:rPr>
                <w:sz w:val="15"/>
                <w:szCs w:val="15"/>
                <w:color w:val="auto"/>
              </w:rPr>
            </w:pPr>
          </w:p>
        </w:tc>
        <w:tc>
          <w:tcPr>
            <w:tcW w:w="240" w:type="dxa"/>
            <w:vAlign w:val="bottom"/>
            <w:tcBorders>
              <w:top w:val="single" w:sz="8" w:color="auto"/>
            </w:tcBorders>
            <w:shd w:val="clear" w:color="auto" w:fill="CCEDFF"/>
          </w:tcPr>
          <w:p>
            <w:pPr>
              <w:jc w:val="right"/>
              <w:ind w:right="59"/>
              <w:spacing w:after="0" w:line="183" w:lineRule="exact"/>
              <w:rPr>
                <w:sz w:val="20"/>
                <w:szCs w:val="20"/>
                <w:color w:val="auto"/>
              </w:rPr>
            </w:pPr>
            <w:r>
              <w:rPr>
                <w:rFonts w:ascii="Arial" w:cs="Arial" w:eastAsia="Arial" w:hAnsi="Arial"/>
                <w:sz w:val="16"/>
                <w:szCs w:val="16"/>
                <w:b w:val="1"/>
                <w:bCs w:val="1"/>
                <w:color w:val="auto"/>
                <w:w w:val="89"/>
              </w:rPr>
              <w:t>$</w:t>
            </w:r>
          </w:p>
        </w:tc>
        <w:tc>
          <w:tcPr>
            <w:tcW w:w="1480" w:type="dxa"/>
            <w:vAlign w:val="bottom"/>
            <w:tcBorders>
              <w:top w:val="single" w:sz="8" w:color="auto"/>
            </w:tcBorders>
            <w:shd w:val="clear" w:color="auto" w:fill="CCEDFF"/>
          </w:tcPr>
          <w:p>
            <w:pPr>
              <w:jc w:val="right"/>
              <w:ind w:right="139"/>
              <w:spacing w:after="0" w:line="183" w:lineRule="exact"/>
              <w:rPr>
                <w:sz w:val="20"/>
                <w:szCs w:val="20"/>
                <w:color w:val="auto"/>
              </w:rPr>
            </w:pPr>
            <w:r>
              <w:rPr>
                <w:rFonts w:ascii="Arial" w:cs="Arial" w:eastAsia="Arial" w:hAnsi="Arial"/>
                <w:sz w:val="16"/>
                <w:szCs w:val="16"/>
                <w:b w:val="1"/>
                <w:bCs w:val="1"/>
                <w:color w:val="auto"/>
              </w:rPr>
              <w:t>45,921</w:t>
            </w:r>
          </w:p>
        </w:tc>
      </w:tr>
      <w:tr>
        <w:trPr>
          <w:trHeight w:val="189"/>
        </w:trPr>
        <w:tc>
          <w:tcPr>
            <w:tcW w:w="5900" w:type="dxa"/>
            <w:vAlign w:val="bottom"/>
            <w:gridSpan w:val="2"/>
          </w:tcPr>
          <w:p>
            <w:pPr>
              <w:spacing w:after="0"/>
              <w:rPr>
                <w:sz w:val="20"/>
                <w:szCs w:val="20"/>
                <w:color w:val="auto"/>
              </w:rPr>
            </w:pPr>
            <w:r>
              <w:rPr>
                <w:rFonts w:ascii="Arial" w:cs="Arial" w:eastAsia="Arial" w:hAnsi="Arial"/>
                <w:sz w:val="16"/>
                <w:szCs w:val="16"/>
                <w:color w:val="auto"/>
              </w:rPr>
              <w:t>Net income (loss) % revenue</w:t>
            </w:r>
          </w:p>
        </w:tc>
        <w:tc>
          <w:tcPr>
            <w:tcW w:w="2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189"/>
        </w:trPr>
        <w:tc>
          <w:tcPr>
            <w:tcW w:w="5900" w:type="dxa"/>
            <w:vAlign w:val="bottom"/>
            <w:gridSpan w:val="2"/>
            <w:shd w:val="clear" w:color="auto" w:fill="CCEDFF"/>
          </w:tcPr>
          <w:p>
            <w:pPr>
              <w:spacing w:after="0"/>
              <w:rPr>
                <w:sz w:val="20"/>
                <w:szCs w:val="20"/>
                <w:color w:val="auto"/>
              </w:rPr>
            </w:pPr>
            <w:r>
              <w:rPr>
                <w:rFonts w:ascii="Arial" w:cs="Arial" w:eastAsia="Arial" w:hAnsi="Arial"/>
                <w:sz w:val="16"/>
                <w:szCs w:val="16"/>
                <w:b w:val="1"/>
                <w:bCs w:val="1"/>
                <w:color w:val="auto"/>
              </w:rPr>
              <w:t>Adjusted EBITDA Margin</w:t>
            </w:r>
          </w:p>
        </w:tc>
        <w:tc>
          <w:tcPr>
            <w:tcW w:w="200" w:type="dxa"/>
            <w:vAlign w:val="bottom"/>
            <w:shd w:val="clear" w:color="auto" w:fill="CCEDFF"/>
          </w:tcPr>
          <w:p>
            <w:pPr>
              <w:spacing w:after="0"/>
              <w:rPr>
                <w:sz w:val="16"/>
                <w:szCs w:val="16"/>
                <w:color w:val="auto"/>
              </w:rPr>
            </w:pPr>
          </w:p>
        </w:tc>
        <w:tc>
          <w:tcPr>
            <w:tcW w:w="148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DFF"/>
          </w:tcPr>
          <w:p>
            <w:pPr>
              <w:spacing w:after="0"/>
              <w:rPr>
                <w:sz w:val="16"/>
                <w:szCs w:val="16"/>
                <w:color w:val="auto"/>
              </w:rPr>
            </w:pPr>
          </w:p>
        </w:tc>
        <w:tc>
          <w:tcPr>
            <w:tcW w:w="160" w:type="dxa"/>
            <w:vAlign w:val="bottom"/>
            <w:shd w:val="clear" w:color="auto" w:fill="CCEDFF"/>
          </w:tcPr>
          <w:p>
            <w:pPr>
              <w:spacing w:after="0"/>
              <w:rPr>
                <w:sz w:val="16"/>
                <w:szCs w:val="16"/>
                <w:color w:val="auto"/>
              </w:rPr>
            </w:pPr>
          </w:p>
        </w:tc>
        <w:tc>
          <w:tcPr>
            <w:tcW w:w="1540" w:type="dxa"/>
            <w:vAlign w:val="bottom"/>
            <w:shd w:val="clear" w:color="auto" w:fill="CCED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DFF"/>
          </w:tcPr>
          <w:p>
            <w:pPr>
              <w:spacing w:after="0"/>
              <w:rPr>
                <w:sz w:val="16"/>
                <w:szCs w:val="16"/>
                <w:color w:val="auto"/>
              </w:rPr>
            </w:pPr>
          </w:p>
        </w:tc>
        <w:tc>
          <w:tcPr>
            <w:tcW w:w="240" w:type="dxa"/>
            <w:vAlign w:val="bottom"/>
            <w:shd w:val="clear" w:color="auto" w:fill="CCEDFF"/>
          </w:tcPr>
          <w:p>
            <w:pPr>
              <w:spacing w:after="0"/>
              <w:rPr>
                <w:sz w:val="16"/>
                <w:szCs w:val="16"/>
                <w:color w:val="auto"/>
              </w:rPr>
            </w:pPr>
          </w:p>
        </w:tc>
        <w:tc>
          <w:tcPr>
            <w:tcW w:w="1480" w:type="dxa"/>
            <w:vAlign w:val="bottom"/>
            <w:shd w:val="clear" w:color="auto" w:fill="CCEDFF"/>
          </w:tcPr>
          <w:p>
            <w:pPr>
              <w:jc w:val="right"/>
              <w:spacing w:after="0"/>
              <w:rPr>
                <w:sz w:val="20"/>
                <w:szCs w:val="20"/>
                <w:color w:val="auto"/>
              </w:rPr>
            </w:pPr>
            <w:r>
              <w:rPr>
                <w:rFonts w:ascii="Arial" w:cs="Arial" w:eastAsia="Arial" w:hAnsi="Arial"/>
                <w:sz w:val="16"/>
                <w:szCs w:val="16"/>
                <w:color w:val="auto"/>
              </w:rPr>
              <w:t>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-1456690</wp:posOffset>
            </wp:positionV>
            <wp:extent cx="768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-1456690</wp:posOffset>
            </wp:positionV>
            <wp:extent cx="774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-1456690</wp:posOffset>
            </wp:positionV>
            <wp:extent cx="768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-368300</wp:posOffset>
            </wp:positionV>
            <wp:extent cx="76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-368300</wp:posOffset>
            </wp:positionV>
            <wp:extent cx="774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-368300</wp:posOffset>
            </wp:positionV>
            <wp:extent cx="768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8" w:lineRule="exact"/>
        <w:rPr>
          <w:sz w:val="20"/>
          <w:szCs w:val="20"/>
          <w:color w:val="auto"/>
        </w:rPr>
      </w:pPr>
    </w:p>
    <w:p>
      <w:pPr>
        <w:ind w:left="160" w:hanging="152"/>
        <w:spacing w:after="0"/>
        <w:tabs>
          <w:tab w:leader="none" w:pos="160" w:val="left"/>
        </w:tabs>
        <w:numPr>
          <w:ilvl w:val="0"/>
          <w:numId w:val="7"/>
        </w:numPr>
        <w:rPr>
          <w:rFonts w:ascii="Arial" w:cs="Arial" w:eastAsia="Arial" w:hAnsi="Arial"/>
          <w:sz w:val="18"/>
          <w:szCs w:val="18"/>
          <w:color w:val="auto"/>
          <w:vertAlign w:val="superscript"/>
        </w:rPr>
      </w:pPr>
      <w:r>
        <w:rPr>
          <w:rFonts w:ascii="Arial" w:cs="Arial" w:eastAsia="Arial" w:hAnsi="Arial"/>
          <w:sz w:val="13"/>
          <w:szCs w:val="13"/>
          <w:color w:val="auto"/>
        </w:rPr>
        <w:t>Primarily represents foreign currency exchange (gain) loss, (gain) loss on lease terminations, and other non-operating items.</w:t>
      </w:r>
    </w:p>
    <w:p>
      <w:pPr>
        <w:spacing w:after="0" w:line="53" w:lineRule="exact"/>
        <w:rPr>
          <w:rFonts w:ascii="Arial" w:cs="Arial" w:eastAsia="Arial" w:hAnsi="Arial"/>
          <w:sz w:val="18"/>
          <w:szCs w:val="18"/>
          <w:color w:val="auto"/>
          <w:vertAlign w:val="superscript"/>
        </w:rPr>
      </w:pPr>
    </w:p>
    <w:p>
      <w:pPr>
        <w:ind w:left="180" w:right="40" w:hanging="172"/>
        <w:spacing w:after="0" w:line="225" w:lineRule="auto"/>
        <w:tabs>
          <w:tab w:leader="none" w:pos="148" w:val="left"/>
        </w:tabs>
        <w:numPr>
          <w:ilvl w:val="0"/>
          <w:numId w:val="7"/>
        </w:numPr>
        <w:rPr>
          <w:rFonts w:ascii="Arial" w:cs="Arial" w:eastAsia="Arial" w:hAnsi="Arial"/>
          <w:sz w:val="17"/>
          <w:szCs w:val="17"/>
          <w:color w:val="auto"/>
          <w:vertAlign w:val="superscript"/>
        </w:rPr>
      </w:pPr>
      <w:r>
        <w:rPr>
          <w:rFonts w:ascii="Arial" w:cs="Arial" w:eastAsia="Arial" w:hAnsi="Arial"/>
          <w:sz w:val="13"/>
          <w:szCs w:val="13"/>
          <w:color w:val="auto"/>
        </w:rPr>
        <w:t>Consists of legal, accounting, advisory fees, move, severance and other integration costs associated with acquisitions, primarily related to Dril-Quip, DWS, SCF and Citadel. These costs are one-time in nature and represent expenses that we do not view as normal operating expenses necessary to operate our business.</w:t>
      </w:r>
    </w:p>
    <w:p>
      <w:pPr>
        <w:spacing w:after="0" w:line="23" w:lineRule="exact"/>
        <w:rPr>
          <w:rFonts w:ascii="Arial" w:cs="Arial" w:eastAsia="Arial" w:hAnsi="Arial"/>
          <w:sz w:val="17"/>
          <w:szCs w:val="17"/>
          <w:color w:val="auto"/>
          <w:vertAlign w:val="superscript"/>
        </w:rPr>
      </w:pPr>
    </w:p>
    <w:p>
      <w:pPr>
        <w:ind w:left="160" w:hanging="152"/>
        <w:spacing w:after="0"/>
        <w:tabs>
          <w:tab w:leader="none" w:pos="160" w:val="left"/>
        </w:tabs>
        <w:numPr>
          <w:ilvl w:val="0"/>
          <w:numId w:val="7"/>
        </w:numPr>
        <w:rPr>
          <w:rFonts w:ascii="Arial" w:cs="Arial" w:eastAsia="Arial" w:hAnsi="Arial"/>
          <w:sz w:val="18"/>
          <w:szCs w:val="18"/>
          <w:color w:val="auto"/>
          <w:vertAlign w:val="superscript"/>
        </w:rPr>
      </w:pPr>
      <w:r>
        <w:rPr>
          <w:rFonts w:ascii="Arial" w:cs="Arial" w:eastAsia="Arial" w:hAnsi="Arial"/>
          <w:sz w:val="13"/>
          <w:szCs w:val="13"/>
          <w:color w:val="auto"/>
        </w:rPr>
        <w:t>Includes monetary damages awarded by a jury and estimated future awards related to the Impulse Litigation, which is not reflective of our ongoing operating performance.</w:t>
      </w:r>
    </w:p>
    <w:p>
      <w:pPr>
        <w:spacing w:after="0" w:line="53" w:lineRule="exact"/>
        <w:rPr>
          <w:rFonts w:ascii="Arial" w:cs="Arial" w:eastAsia="Arial" w:hAnsi="Arial"/>
          <w:sz w:val="18"/>
          <w:szCs w:val="18"/>
          <w:color w:val="auto"/>
          <w:vertAlign w:val="superscript"/>
        </w:rPr>
      </w:pPr>
    </w:p>
    <w:p>
      <w:pPr>
        <w:ind w:left="180" w:right="500" w:hanging="172"/>
        <w:spacing w:after="0" w:line="225" w:lineRule="auto"/>
        <w:tabs>
          <w:tab w:leader="none" w:pos="148" w:val="left"/>
        </w:tabs>
        <w:numPr>
          <w:ilvl w:val="0"/>
          <w:numId w:val="7"/>
        </w:numPr>
        <w:rPr>
          <w:rFonts w:ascii="Arial" w:cs="Arial" w:eastAsia="Arial" w:hAnsi="Arial"/>
          <w:sz w:val="17"/>
          <w:szCs w:val="17"/>
          <w:color w:val="auto"/>
          <w:vertAlign w:val="superscript"/>
        </w:rPr>
      </w:pPr>
      <w:r>
        <w:rPr>
          <w:rFonts w:ascii="Arial" w:cs="Arial" w:eastAsia="Arial" w:hAnsi="Arial"/>
          <w:sz w:val="13"/>
          <w:szCs w:val="13"/>
          <w:color w:val="auto"/>
        </w:rPr>
        <w:t xml:space="preserve">Reflects legal defense costs associated with the Impulse Litigation, which is not reflective of our ongoing operating performance. These costs are recorded in </w:t>
      </w:r>
      <w:r>
        <w:rPr>
          <w:rFonts w:ascii="Arial" w:cs="Arial" w:eastAsia="Arial" w:hAnsi="Arial"/>
          <w:sz w:val="13"/>
          <w:szCs w:val="13"/>
          <w:i w:val="1"/>
          <w:iCs w:val="1"/>
          <w:color w:val="auto"/>
        </w:rPr>
        <w:t>Selling, general and</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administrative expenses </w:t>
      </w:r>
      <w:r>
        <w:rPr>
          <w:rFonts w:ascii="Arial" w:cs="Arial" w:eastAsia="Arial" w:hAnsi="Arial"/>
          <w:sz w:val="13"/>
          <w:szCs w:val="13"/>
          <w:color w:val="auto"/>
        </w:rPr>
        <w:t>in our Condensed Consolidated Statements of Operations and Comprehensive Income.</w:t>
      </w:r>
    </w:p>
    <w:p>
      <w:pPr>
        <w:spacing w:after="0" w:line="23" w:lineRule="exact"/>
        <w:rPr>
          <w:rFonts w:ascii="Arial" w:cs="Arial" w:eastAsia="Arial" w:hAnsi="Arial"/>
          <w:sz w:val="17"/>
          <w:szCs w:val="17"/>
          <w:color w:val="auto"/>
          <w:vertAlign w:val="superscript"/>
        </w:rPr>
      </w:pPr>
    </w:p>
    <w:p>
      <w:pPr>
        <w:ind w:left="160" w:hanging="152"/>
        <w:spacing w:after="0"/>
        <w:tabs>
          <w:tab w:leader="none" w:pos="160" w:val="left"/>
        </w:tabs>
        <w:numPr>
          <w:ilvl w:val="0"/>
          <w:numId w:val="7"/>
        </w:numPr>
        <w:rPr>
          <w:rFonts w:ascii="Arial" w:cs="Arial" w:eastAsia="Arial" w:hAnsi="Arial"/>
          <w:sz w:val="18"/>
          <w:szCs w:val="18"/>
          <w:color w:val="auto"/>
          <w:vertAlign w:val="superscript"/>
        </w:rPr>
      </w:pPr>
      <w:r>
        <w:rPr>
          <w:rFonts w:ascii="Arial" w:cs="Arial" w:eastAsia="Arial" w:hAnsi="Arial"/>
          <w:sz w:val="13"/>
          <w:szCs w:val="13"/>
          <w:color w:val="auto"/>
        </w:rPr>
        <w:t>Reflects transaction costs associated with the secondary offering in February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594995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6"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5420360</wp:posOffset>
            </wp:positionH>
            <wp:positionV relativeFrom="page">
              <wp:posOffset>252095</wp:posOffset>
            </wp:positionV>
            <wp:extent cx="1920240" cy="4114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1920240" cy="411480"/>
                    </a:xfrm>
                    <a:prstGeom prst="rect">
                      <a:avLst/>
                    </a:prstGeom>
                    <a:noFill/>
                  </pic:spPr>
                </pic:pic>
              </a:graphicData>
            </a:graphic>
          </wp:anchor>
        </w:drawing>
        <w:t>Innovex International, Inc.</w:t>
      </w:r>
    </w:p>
    <w:p>
      <w:pPr>
        <w:jc w:val="center"/>
        <w:spacing w:after="0" w:line="231" w:lineRule="auto"/>
        <w:rPr>
          <w:sz w:val="20"/>
          <w:szCs w:val="20"/>
          <w:color w:val="auto"/>
        </w:rPr>
      </w:pPr>
      <w:r>
        <w:rPr>
          <w:rFonts w:ascii="Arial" w:cs="Arial" w:eastAsia="Arial" w:hAnsi="Arial"/>
          <w:sz w:val="20"/>
          <w:szCs w:val="20"/>
          <w:b w:val="1"/>
          <w:bCs w:val="1"/>
          <w:color w:val="auto"/>
        </w:rPr>
        <w:t>Reconciliation of Income from Operations to ROCE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Twelve Months Ended</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r>
      <w:tr>
        <w:trPr>
          <w:trHeight w:val="168"/>
        </w:trPr>
        <w:tc>
          <w:tcPr>
            <w:tcW w:w="5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479"/>
              <w:spacing w:after="0" w:line="168" w:lineRule="exact"/>
              <w:rPr>
                <w:sz w:val="20"/>
                <w:szCs w:val="20"/>
                <w:color w:val="auto"/>
              </w:rPr>
            </w:pPr>
            <w:r>
              <w:rPr>
                <w:rFonts w:ascii="Arial" w:cs="Arial" w:eastAsia="Arial" w:hAnsi="Arial"/>
                <w:sz w:val="16"/>
                <w:szCs w:val="16"/>
                <w:b w:val="1"/>
                <w:bCs w:val="1"/>
                <w:color w:val="auto"/>
              </w:rPr>
              <w:t>March 31,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jc w:val="center"/>
              <w:ind w:right="279"/>
              <w:spacing w:after="0" w:line="168" w:lineRule="exact"/>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jc w:val="right"/>
              <w:ind w:right="519"/>
              <w:spacing w:after="0" w:line="168" w:lineRule="exact"/>
              <w:rPr>
                <w:sz w:val="20"/>
                <w:szCs w:val="20"/>
                <w:color w:val="auto"/>
              </w:rPr>
            </w:pPr>
            <w:r>
              <w:rPr>
                <w:rFonts w:ascii="Arial" w:cs="Arial" w:eastAsia="Arial" w:hAnsi="Arial"/>
                <w:sz w:val="16"/>
                <w:szCs w:val="16"/>
                <w:b w:val="1"/>
                <w:bCs w:val="1"/>
                <w:color w:val="auto"/>
              </w:rPr>
              <w:t>March 31,</w:t>
            </w:r>
          </w:p>
        </w:tc>
      </w:tr>
      <w:tr>
        <w:trPr>
          <w:trHeight w:val="203"/>
        </w:trPr>
        <w:tc>
          <w:tcPr>
            <w:tcW w:w="59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2026</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2025</w:t>
            </w:r>
          </w:p>
        </w:tc>
      </w:tr>
      <w:tr>
        <w:trPr>
          <w:trHeight w:val="183"/>
        </w:trPr>
        <w:tc>
          <w:tcPr>
            <w:tcW w:w="5900" w:type="dxa"/>
            <w:vAlign w:val="bottom"/>
            <w:gridSpan w:val="2"/>
            <w:shd w:val="clear" w:color="auto" w:fill="CCEDFF"/>
          </w:tcPr>
          <w:p>
            <w:pPr>
              <w:spacing w:after="0" w:line="183" w:lineRule="exact"/>
              <w:rPr>
                <w:sz w:val="20"/>
                <w:szCs w:val="20"/>
                <w:color w:val="auto"/>
              </w:rPr>
            </w:pPr>
            <w:r>
              <w:rPr>
                <w:rFonts w:ascii="Arial" w:cs="Arial" w:eastAsia="Arial" w:hAnsi="Arial"/>
                <w:sz w:val="16"/>
                <w:szCs w:val="16"/>
                <w:color w:val="auto"/>
              </w:rPr>
              <w:t>Income from operations</w:t>
            </w:r>
          </w:p>
        </w:tc>
        <w:tc>
          <w:tcPr>
            <w:tcW w:w="220" w:type="dxa"/>
            <w:vAlign w:val="bottom"/>
            <w:shd w:val="clear" w:color="auto" w:fill="CCEDFF"/>
          </w:tcPr>
          <w:p>
            <w:pPr>
              <w:jc w:val="right"/>
              <w:ind w:right="64"/>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DFF"/>
          </w:tcPr>
          <w:p>
            <w:pPr>
              <w:jc w:val="right"/>
              <w:ind w:right="119"/>
              <w:spacing w:after="0" w:line="183" w:lineRule="exact"/>
              <w:rPr>
                <w:sz w:val="20"/>
                <w:szCs w:val="20"/>
                <w:color w:val="auto"/>
              </w:rPr>
            </w:pPr>
            <w:r>
              <w:rPr>
                <w:rFonts w:ascii="Arial" w:cs="Arial" w:eastAsia="Arial" w:hAnsi="Arial"/>
                <w:sz w:val="16"/>
                <w:szCs w:val="16"/>
                <w:color w:val="auto"/>
              </w:rPr>
              <w:t>88,943</w:t>
            </w:r>
          </w:p>
        </w:tc>
        <w:tc>
          <w:tcPr>
            <w:tcW w:w="280" w:type="dxa"/>
            <w:vAlign w:val="bottom"/>
            <w:gridSpan w:val="2"/>
            <w:shd w:val="clear" w:color="auto" w:fill="CCEDFF"/>
          </w:tcPr>
          <w:p>
            <w:pPr>
              <w:jc w:val="right"/>
              <w:spacing w:after="0" w:line="183" w:lineRule="exact"/>
              <w:rPr>
                <w:sz w:val="20"/>
                <w:szCs w:val="20"/>
                <w:color w:val="auto"/>
              </w:rPr>
            </w:pPr>
            <w:r>
              <w:rPr>
                <w:rFonts w:ascii="Arial" w:cs="Arial" w:eastAsia="Arial" w:hAnsi="Arial"/>
                <w:sz w:val="16"/>
                <w:szCs w:val="16"/>
                <w:color w:val="auto"/>
              </w:rPr>
              <w:t>$</w:t>
            </w:r>
          </w:p>
        </w:tc>
        <w:tc>
          <w:tcPr>
            <w:tcW w:w="1540" w:type="dxa"/>
            <w:vAlign w:val="bottom"/>
            <w:shd w:val="clear" w:color="auto" w:fill="CCEDFF"/>
          </w:tcPr>
          <w:p>
            <w:pPr>
              <w:jc w:val="right"/>
              <w:ind w:right="119"/>
              <w:spacing w:after="0" w:line="183" w:lineRule="exact"/>
              <w:rPr>
                <w:sz w:val="20"/>
                <w:szCs w:val="20"/>
                <w:color w:val="auto"/>
              </w:rPr>
            </w:pPr>
            <w:r>
              <w:rPr>
                <w:rFonts w:ascii="Arial" w:cs="Arial" w:eastAsia="Arial" w:hAnsi="Arial"/>
                <w:sz w:val="16"/>
                <w:szCs w:val="16"/>
                <w:color w:val="auto"/>
              </w:rPr>
              <w:t>132,625</w:t>
            </w:r>
          </w:p>
        </w:tc>
        <w:tc>
          <w:tcPr>
            <w:tcW w:w="360" w:type="dxa"/>
            <w:vAlign w:val="bottom"/>
            <w:gridSpan w:val="2"/>
            <w:shd w:val="clear" w:color="auto" w:fill="CCEDFF"/>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480" w:type="dxa"/>
            <w:vAlign w:val="bottom"/>
            <w:shd w:val="clear" w:color="auto" w:fill="CCEDFF"/>
          </w:tcPr>
          <w:p>
            <w:pPr>
              <w:jc w:val="right"/>
              <w:ind w:right="139"/>
              <w:spacing w:after="0" w:line="183" w:lineRule="exact"/>
              <w:rPr>
                <w:sz w:val="20"/>
                <w:szCs w:val="20"/>
                <w:color w:val="auto"/>
              </w:rPr>
            </w:pPr>
            <w:r>
              <w:rPr>
                <w:rFonts w:ascii="Arial" w:cs="Arial" w:eastAsia="Arial" w:hAnsi="Arial"/>
                <w:sz w:val="16"/>
                <w:szCs w:val="16"/>
                <w:color w:val="auto"/>
              </w:rPr>
              <w:t>48,614</w:t>
            </w:r>
          </w:p>
        </w:tc>
      </w:tr>
      <w:tr>
        <w:trPr>
          <w:trHeight w:val="189"/>
        </w:trPr>
        <w:tc>
          <w:tcPr>
            <w:tcW w:w="5900" w:type="dxa"/>
            <w:vAlign w:val="bottom"/>
            <w:gridSpan w:val="2"/>
          </w:tcPr>
          <w:p>
            <w:pPr>
              <w:spacing w:after="0"/>
              <w:rPr>
                <w:sz w:val="20"/>
                <w:szCs w:val="20"/>
                <w:color w:val="auto"/>
              </w:rPr>
            </w:pPr>
            <w:r>
              <w:rPr>
                <w:rFonts w:ascii="Arial" w:cs="Arial" w:eastAsia="Arial" w:hAnsi="Arial"/>
                <w:sz w:val="16"/>
                <w:szCs w:val="16"/>
                <w:color w:val="auto"/>
              </w:rPr>
              <w:t>Plus: Acquisition and integration costs</w:t>
            </w:r>
          </w:p>
        </w:tc>
        <w:tc>
          <w:tcPr>
            <w:tcW w:w="220" w:type="dxa"/>
            <w:vAlign w:val="bottom"/>
          </w:tcPr>
          <w:p>
            <w:pPr>
              <w:spacing w:after="0"/>
              <w:rPr>
                <w:sz w:val="16"/>
                <w:szCs w:val="16"/>
                <w:color w:val="auto"/>
              </w:rPr>
            </w:pP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14,818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17,518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ind w:right="139"/>
              <w:spacing w:after="0"/>
              <w:rPr>
                <w:sz w:val="20"/>
                <w:szCs w:val="20"/>
                <w:color w:val="auto"/>
              </w:rPr>
            </w:pPr>
            <w:r>
              <w:rPr>
                <w:rFonts w:ascii="Arial" w:cs="Arial" w:eastAsia="Arial" w:hAnsi="Arial"/>
                <w:sz w:val="16"/>
                <w:szCs w:val="16"/>
                <w:color w:val="auto"/>
              </w:rPr>
              <w:t>36,815</w:t>
            </w:r>
          </w:p>
        </w:tc>
      </w:tr>
      <w:tr>
        <w:trPr>
          <w:trHeight w:val="189"/>
        </w:trPr>
        <w:tc>
          <w:tcPr>
            <w:tcW w:w="5900" w:type="dxa"/>
            <w:vAlign w:val="bottom"/>
            <w:gridSpan w:val="2"/>
            <w:shd w:val="clear" w:color="auto" w:fill="CCEDFF"/>
          </w:tcPr>
          <w:p>
            <w:pPr>
              <w:spacing w:after="0" w:line="189" w:lineRule="exact"/>
              <w:rPr>
                <w:sz w:val="20"/>
                <w:szCs w:val="20"/>
                <w:color w:val="auto"/>
              </w:rPr>
            </w:pPr>
            <w:r>
              <w:rPr>
                <w:rFonts w:ascii="Arial" w:cs="Arial" w:eastAsia="Arial" w:hAnsi="Arial"/>
                <w:sz w:val="16"/>
                <w:szCs w:val="16"/>
                <w:color w:val="auto"/>
              </w:rPr>
              <w:t xml:space="preserve">Plus: Provision for legal settlement </w:t>
            </w:r>
            <w:r>
              <w:rPr>
                <w:rFonts w:ascii="Arial" w:cs="Arial" w:eastAsia="Arial" w:hAnsi="Arial"/>
                <w:sz w:val="21"/>
                <w:szCs w:val="21"/>
                <w:color w:val="auto"/>
                <w:vertAlign w:val="superscript"/>
              </w:rPr>
              <w:t>(1)</w:t>
            </w:r>
          </w:p>
        </w:tc>
        <w:tc>
          <w:tcPr>
            <w:tcW w:w="220" w:type="dxa"/>
            <w:vAlign w:val="bottom"/>
            <w:shd w:val="clear" w:color="auto" w:fill="CCEDFF"/>
          </w:tcPr>
          <w:p>
            <w:pPr>
              <w:spacing w:after="0"/>
              <w:rPr>
                <w:sz w:val="16"/>
                <w:szCs w:val="16"/>
                <w:color w:val="auto"/>
              </w:rPr>
            </w:pPr>
          </w:p>
        </w:tc>
        <w:tc>
          <w:tcPr>
            <w:tcW w:w="1460" w:type="dxa"/>
            <w:vAlign w:val="bottom"/>
            <w:shd w:val="clear" w:color="auto" w:fill="CCEDFF"/>
          </w:tcPr>
          <w:p>
            <w:pPr>
              <w:jc w:val="right"/>
              <w:ind w:right="119"/>
              <w:spacing w:after="0"/>
              <w:rPr>
                <w:sz w:val="20"/>
                <w:szCs w:val="20"/>
                <w:color w:val="auto"/>
              </w:rPr>
            </w:pPr>
            <w:r>
              <w:rPr>
                <w:rFonts w:ascii="Arial" w:cs="Arial" w:eastAsia="Arial" w:hAnsi="Arial"/>
                <w:sz w:val="16"/>
                <w:szCs w:val="16"/>
                <w:color w:val="auto"/>
              </w:rPr>
              <w:t>48,803</w:t>
            </w:r>
          </w:p>
        </w:tc>
        <w:tc>
          <w:tcPr>
            <w:tcW w:w="120" w:type="dxa"/>
            <w:vAlign w:val="bottom"/>
            <w:shd w:val="clear" w:color="auto" w:fill="CCEDFF"/>
          </w:tcPr>
          <w:p>
            <w:pPr>
              <w:spacing w:after="0"/>
              <w:rPr>
                <w:sz w:val="16"/>
                <w:szCs w:val="16"/>
                <w:color w:val="auto"/>
              </w:rPr>
            </w:pPr>
          </w:p>
        </w:tc>
        <w:tc>
          <w:tcPr>
            <w:tcW w:w="160" w:type="dxa"/>
            <w:vAlign w:val="bottom"/>
            <w:shd w:val="clear" w:color="auto" w:fill="CCEDFF"/>
          </w:tcPr>
          <w:p>
            <w:pPr>
              <w:spacing w:after="0"/>
              <w:rPr>
                <w:sz w:val="16"/>
                <w:szCs w:val="16"/>
                <w:color w:val="auto"/>
              </w:rPr>
            </w:pPr>
          </w:p>
        </w:tc>
        <w:tc>
          <w:tcPr>
            <w:tcW w:w="1540" w:type="dxa"/>
            <w:vAlign w:val="bottom"/>
            <w:shd w:val="clear" w:color="auto" w:fill="CCEDFF"/>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DFF"/>
          </w:tcPr>
          <w:p>
            <w:pPr>
              <w:spacing w:after="0"/>
              <w:rPr>
                <w:sz w:val="16"/>
                <w:szCs w:val="16"/>
                <w:color w:val="auto"/>
              </w:rPr>
            </w:pPr>
          </w:p>
        </w:tc>
        <w:tc>
          <w:tcPr>
            <w:tcW w:w="240" w:type="dxa"/>
            <w:vAlign w:val="bottom"/>
            <w:shd w:val="clear" w:color="auto" w:fill="CCEDFF"/>
          </w:tcPr>
          <w:p>
            <w:pPr>
              <w:spacing w:after="0"/>
              <w:rPr>
                <w:sz w:val="16"/>
                <w:szCs w:val="16"/>
                <w:color w:val="auto"/>
              </w:rPr>
            </w:pPr>
          </w:p>
        </w:tc>
        <w:tc>
          <w:tcPr>
            <w:tcW w:w="1480" w:type="dxa"/>
            <w:vAlign w:val="bottom"/>
            <w:shd w:val="clear" w:color="auto" w:fill="CCEDFF"/>
          </w:tcPr>
          <w:p>
            <w:pPr>
              <w:jc w:val="right"/>
              <w:ind w:right="139"/>
              <w:spacing w:after="0"/>
              <w:rPr>
                <w:sz w:val="20"/>
                <w:szCs w:val="20"/>
                <w:color w:val="auto"/>
              </w:rPr>
            </w:pPr>
            <w:r>
              <w:rPr>
                <w:rFonts w:ascii="Arial" w:cs="Arial" w:eastAsia="Arial" w:hAnsi="Arial"/>
                <w:sz w:val="16"/>
                <w:szCs w:val="16"/>
                <w:color w:val="auto"/>
              </w:rPr>
              <w:t>—</w:t>
            </w:r>
          </w:p>
        </w:tc>
      </w:tr>
      <w:tr>
        <w:trPr>
          <w:trHeight w:val="189"/>
        </w:trPr>
        <w:tc>
          <w:tcPr>
            <w:tcW w:w="5900" w:type="dxa"/>
            <w:vAlign w:val="bottom"/>
            <w:gridSpan w:val="2"/>
          </w:tcPr>
          <w:p>
            <w:pPr>
              <w:spacing w:after="0" w:line="189" w:lineRule="exact"/>
              <w:rPr>
                <w:sz w:val="20"/>
                <w:szCs w:val="20"/>
                <w:color w:val="auto"/>
              </w:rPr>
            </w:pPr>
            <w:r>
              <w:rPr>
                <w:rFonts w:ascii="Arial" w:cs="Arial" w:eastAsia="Arial" w:hAnsi="Arial"/>
                <w:sz w:val="16"/>
                <w:szCs w:val="16"/>
                <w:color w:val="auto"/>
              </w:rPr>
              <w:t xml:space="preserve">Plus: Legal defense costs </w:t>
            </w:r>
            <w:r>
              <w:rPr>
                <w:rFonts w:ascii="Arial" w:cs="Arial" w:eastAsia="Arial" w:hAnsi="Arial"/>
                <w:sz w:val="21"/>
                <w:szCs w:val="21"/>
                <w:color w:val="auto"/>
                <w:vertAlign w:val="superscript"/>
              </w:rPr>
              <w:t>(1)</w:t>
            </w:r>
          </w:p>
        </w:tc>
        <w:tc>
          <w:tcPr>
            <w:tcW w:w="220" w:type="dxa"/>
            <w:vAlign w:val="bottom"/>
          </w:tcPr>
          <w:p>
            <w:pPr>
              <w:spacing w:after="0"/>
              <w:rPr>
                <w:sz w:val="16"/>
                <w:szCs w:val="16"/>
                <w:color w:val="auto"/>
              </w:rPr>
            </w:pP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2,430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189"/>
        </w:trPr>
        <w:tc>
          <w:tcPr>
            <w:tcW w:w="5780" w:type="dxa"/>
            <w:vAlign w:val="bottom"/>
            <w:tcBorders>
              <w:bottom w:val="single" w:sz="8" w:color="auto"/>
            </w:tcBorders>
            <w:shd w:val="clear" w:color="auto" w:fill="CCEDFF"/>
          </w:tcPr>
          <w:p>
            <w:pPr>
              <w:spacing w:after="0"/>
              <w:rPr>
                <w:sz w:val="20"/>
                <w:szCs w:val="20"/>
                <w:color w:val="auto"/>
              </w:rPr>
            </w:pPr>
            <w:r>
              <w:rPr>
                <w:rFonts w:ascii="Arial" w:cs="Arial" w:eastAsia="Arial" w:hAnsi="Arial"/>
                <w:sz w:val="16"/>
                <w:szCs w:val="16"/>
                <w:color w:val="auto"/>
              </w:rPr>
              <w:t>Less: Income tax expense</w:t>
            </w:r>
          </w:p>
        </w:tc>
        <w:tc>
          <w:tcPr>
            <w:tcW w:w="120" w:type="dxa"/>
            <w:vAlign w:val="bottom"/>
            <w:tcBorders>
              <w:bottom w:val="single" w:sz="8" w:color="CCEDFF"/>
            </w:tcBorders>
            <w:shd w:val="clear" w:color="auto" w:fill="CCEDFF"/>
          </w:tcPr>
          <w:p>
            <w:pPr>
              <w:spacing w:after="0"/>
              <w:rPr>
                <w:sz w:val="16"/>
                <w:szCs w:val="16"/>
                <w:color w:val="auto"/>
              </w:rPr>
            </w:pPr>
          </w:p>
        </w:tc>
        <w:tc>
          <w:tcPr>
            <w:tcW w:w="220" w:type="dxa"/>
            <w:vAlign w:val="bottom"/>
            <w:tcBorders>
              <w:bottom w:val="single" w:sz="8" w:color="auto"/>
            </w:tcBorders>
            <w:shd w:val="clear" w:color="auto" w:fill="CCEDFF"/>
          </w:tcPr>
          <w:p>
            <w:pPr>
              <w:spacing w:after="0"/>
              <w:rPr>
                <w:sz w:val="16"/>
                <w:szCs w:val="16"/>
                <w:color w:val="auto"/>
              </w:rPr>
            </w:pPr>
          </w:p>
        </w:tc>
        <w:tc>
          <w:tcPr>
            <w:tcW w:w="1460" w:type="dxa"/>
            <w:vAlign w:val="bottom"/>
            <w:tcBorders>
              <w:bottom w:val="single" w:sz="8" w:color="auto"/>
            </w:tcBorders>
            <w:shd w:val="clear" w:color="auto" w:fill="CCEDFF"/>
          </w:tcPr>
          <w:p>
            <w:pPr>
              <w:jc w:val="right"/>
              <w:ind w:right="59"/>
              <w:spacing w:after="0"/>
              <w:rPr>
                <w:sz w:val="20"/>
                <w:szCs w:val="20"/>
                <w:color w:val="auto"/>
              </w:rPr>
            </w:pPr>
            <w:r>
              <w:rPr>
                <w:rFonts w:ascii="Arial" w:cs="Arial" w:eastAsia="Arial" w:hAnsi="Arial"/>
                <w:sz w:val="16"/>
                <w:szCs w:val="16"/>
                <w:color w:val="auto"/>
              </w:rPr>
              <w:t>(33,701)</w:t>
            </w:r>
          </w:p>
        </w:tc>
        <w:tc>
          <w:tcPr>
            <w:tcW w:w="120" w:type="dxa"/>
            <w:vAlign w:val="bottom"/>
            <w:tcBorders>
              <w:bottom w:val="single" w:sz="8" w:color="CCEDFF"/>
            </w:tcBorders>
            <w:shd w:val="clear" w:color="auto" w:fill="CCEDFF"/>
          </w:tcPr>
          <w:p>
            <w:pPr>
              <w:spacing w:after="0"/>
              <w:rPr>
                <w:sz w:val="16"/>
                <w:szCs w:val="16"/>
                <w:color w:val="auto"/>
              </w:rPr>
            </w:pPr>
          </w:p>
        </w:tc>
        <w:tc>
          <w:tcPr>
            <w:tcW w:w="160" w:type="dxa"/>
            <w:vAlign w:val="bottom"/>
            <w:tcBorders>
              <w:bottom w:val="single" w:sz="8" w:color="auto"/>
            </w:tcBorders>
            <w:shd w:val="clear" w:color="auto" w:fill="CCEDFF"/>
          </w:tcPr>
          <w:p>
            <w:pPr>
              <w:spacing w:after="0"/>
              <w:rPr>
                <w:sz w:val="16"/>
                <w:szCs w:val="16"/>
                <w:color w:val="auto"/>
              </w:rPr>
            </w:pPr>
          </w:p>
        </w:tc>
        <w:tc>
          <w:tcPr>
            <w:tcW w:w="1540" w:type="dxa"/>
            <w:vAlign w:val="bottom"/>
            <w:tcBorders>
              <w:bottom w:val="single" w:sz="8" w:color="auto"/>
            </w:tcBorders>
            <w:shd w:val="clear" w:color="auto" w:fill="CCEDFF"/>
          </w:tcPr>
          <w:p>
            <w:pPr>
              <w:jc w:val="right"/>
              <w:ind w:right="59"/>
              <w:spacing w:after="0"/>
              <w:rPr>
                <w:sz w:val="20"/>
                <w:szCs w:val="20"/>
                <w:color w:val="auto"/>
              </w:rPr>
            </w:pPr>
            <w:r>
              <w:rPr>
                <w:rFonts w:ascii="Arial" w:cs="Arial" w:eastAsia="Arial" w:hAnsi="Arial"/>
                <w:sz w:val="16"/>
                <w:szCs w:val="16"/>
                <w:color w:val="auto"/>
              </w:rPr>
              <w:t>(45,231)</w:t>
            </w:r>
          </w:p>
        </w:tc>
        <w:tc>
          <w:tcPr>
            <w:tcW w:w="120" w:type="dxa"/>
            <w:vAlign w:val="bottom"/>
            <w:tcBorders>
              <w:bottom w:val="single" w:sz="8" w:color="CCEDFF"/>
            </w:tcBorders>
            <w:shd w:val="clear" w:color="auto" w:fill="CCEDFF"/>
          </w:tcPr>
          <w:p>
            <w:pPr>
              <w:spacing w:after="0"/>
              <w:rPr>
                <w:sz w:val="16"/>
                <w:szCs w:val="16"/>
                <w:color w:val="auto"/>
              </w:rPr>
            </w:pPr>
          </w:p>
        </w:tc>
        <w:tc>
          <w:tcPr>
            <w:tcW w:w="240" w:type="dxa"/>
            <w:vAlign w:val="bottom"/>
            <w:tcBorders>
              <w:bottom w:val="single" w:sz="8" w:color="auto"/>
            </w:tcBorders>
            <w:shd w:val="clear" w:color="auto" w:fill="CCEDFF"/>
          </w:tcPr>
          <w:p>
            <w:pPr>
              <w:spacing w:after="0"/>
              <w:rPr>
                <w:sz w:val="16"/>
                <w:szCs w:val="16"/>
                <w:color w:val="auto"/>
              </w:rPr>
            </w:pPr>
          </w:p>
        </w:tc>
        <w:tc>
          <w:tcPr>
            <w:tcW w:w="1480" w:type="dxa"/>
            <w:vAlign w:val="bottom"/>
            <w:tcBorders>
              <w:bottom w:val="single" w:sz="8" w:color="auto"/>
            </w:tcBorders>
            <w:shd w:val="clear" w:color="auto" w:fill="CCEDFF"/>
          </w:tcPr>
          <w:p>
            <w:pPr>
              <w:jc w:val="right"/>
              <w:ind w:right="59"/>
              <w:spacing w:after="0"/>
              <w:rPr>
                <w:sz w:val="20"/>
                <w:szCs w:val="20"/>
                <w:color w:val="auto"/>
              </w:rPr>
            </w:pPr>
            <w:r>
              <w:rPr>
                <w:rFonts w:ascii="Arial" w:cs="Arial" w:eastAsia="Arial" w:hAnsi="Arial"/>
                <w:sz w:val="16"/>
                <w:szCs w:val="16"/>
                <w:color w:val="auto"/>
              </w:rPr>
              <w:t>(3,971)</w:t>
            </w:r>
          </w:p>
        </w:tc>
      </w:tr>
      <w:tr>
        <w:trPr>
          <w:trHeight w:val="183"/>
        </w:trPr>
        <w:tc>
          <w:tcPr>
            <w:tcW w:w="5900" w:type="dxa"/>
            <w:vAlign w:val="bottom"/>
            <w:gridSpan w:val="2"/>
          </w:tcPr>
          <w:p>
            <w:pPr>
              <w:spacing w:after="0" w:line="183" w:lineRule="exact"/>
              <w:rPr>
                <w:sz w:val="20"/>
                <w:szCs w:val="20"/>
                <w:color w:val="auto"/>
              </w:rPr>
            </w:pPr>
            <w:r>
              <w:rPr>
                <w:rFonts w:ascii="Arial" w:cs="Arial" w:eastAsia="Arial" w:hAnsi="Arial"/>
                <w:sz w:val="16"/>
                <w:szCs w:val="16"/>
                <w:color w:val="auto"/>
              </w:rPr>
              <w:t>Adjusted income from operations, after tax</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ind w:right="119"/>
              <w:spacing w:after="0" w:line="183" w:lineRule="exact"/>
              <w:rPr>
                <w:sz w:val="20"/>
                <w:szCs w:val="20"/>
                <w:color w:val="auto"/>
              </w:rPr>
            </w:pPr>
            <w:r>
              <w:rPr>
                <w:rFonts w:ascii="Arial" w:cs="Arial" w:eastAsia="Arial" w:hAnsi="Arial"/>
                <w:sz w:val="16"/>
                <w:szCs w:val="16"/>
                <w:color w:val="auto"/>
              </w:rPr>
              <w:t>121,293</w:t>
            </w:r>
          </w:p>
        </w:tc>
        <w:tc>
          <w:tcPr>
            <w:tcW w:w="28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1540" w:type="dxa"/>
            <w:vAlign w:val="bottom"/>
          </w:tcPr>
          <w:p>
            <w:pPr>
              <w:jc w:val="right"/>
              <w:ind w:right="119"/>
              <w:spacing w:after="0" w:line="183" w:lineRule="exact"/>
              <w:rPr>
                <w:sz w:val="20"/>
                <w:szCs w:val="20"/>
                <w:color w:val="auto"/>
              </w:rPr>
            </w:pPr>
            <w:r>
              <w:rPr>
                <w:rFonts w:ascii="Arial" w:cs="Arial" w:eastAsia="Arial" w:hAnsi="Arial"/>
                <w:sz w:val="16"/>
                <w:szCs w:val="16"/>
                <w:color w:val="auto"/>
              </w:rPr>
              <w:t>104,912</w:t>
            </w:r>
          </w:p>
        </w:tc>
        <w:tc>
          <w:tcPr>
            <w:tcW w:w="360" w:type="dxa"/>
            <w:vAlign w:val="bottom"/>
            <w:gridSpan w:val="2"/>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480" w:type="dxa"/>
            <w:vAlign w:val="bottom"/>
          </w:tcPr>
          <w:p>
            <w:pPr>
              <w:jc w:val="right"/>
              <w:ind w:right="139"/>
              <w:spacing w:after="0" w:line="183" w:lineRule="exact"/>
              <w:rPr>
                <w:sz w:val="20"/>
                <w:szCs w:val="20"/>
                <w:color w:val="auto"/>
              </w:rPr>
            </w:pPr>
            <w:r>
              <w:rPr>
                <w:rFonts w:ascii="Arial" w:cs="Arial" w:eastAsia="Arial" w:hAnsi="Arial"/>
                <w:sz w:val="16"/>
                <w:szCs w:val="16"/>
                <w:color w:val="auto"/>
              </w:rPr>
              <w:t>81,458</w:t>
            </w:r>
          </w:p>
        </w:tc>
      </w:tr>
      <w:tr>
        <w:trPr>
          <w:trHeight w:val="189"/>
        </w:trPr>
        <w:tc>
          <w:tcPr>
            <w:tcW w:w="5900" w:type="dxa"/>
            <w:vAlign w:val="bottom"/>
            <w:gridSpan w:val="2"/>
            <w:shd w:val="clear" w:color="auto" w:fill="CCEDFF"/>
          </w:tcPr>
          <w:p>
            <w:pPr>
              <w:spacing w:after="0"/>
              <w:rPr>
                <w:sz w:val="20"/>
                <w:szCs w:val="20"/>
                <w:color w:val="auto"/>
              </w:rPr>
            </w:pPr>
            <w:r>
              <w:rPr>
                <w:rFonts w:ascii="Arial" w:cs="Arial" w:eastAsia="Arial" w:hAnsi="Arial"/>
                <w:sz w:val="16"/>
                <w:szCs w:val="16"/>
                <w:color w:val="auto"/>
              </w:rPr>
              <w:t>Beginning debt</w:t>
            </w:r>
          </w:p>
        </w:tc>
        <w:tc>
          <w:tcPr>
            <w:tcW w:w="220" w:type="dxa"/>
            <w:vAlign w:val="bottom"/>
            <w:shd w:val="clear" w:color="auto" w:fill="CCEDFF"/>
          </w:tcPr>
          <w:p>
            <w:pPr>
              <w:spacing w:after="0"/>
              <w:rPr>
                <w:sz w:val="16"/>
                <w:szCs w:val="16"/>
                <w:color w:val="auto"/>
              </w:rPr>
            </w:pPr>
          </w:p>
        </w:tc>
        <w:tc>
          <w:tcPr>
            <w:tcW w:w="1460" w:type="dxa"/>
            <w:vAlign w:val="bottom"/>
            <w:shd w:val="clear" w:color="auto" w:fill="CCEDFF"/>
          </w:tcPr>
          <w:p>
            <w:pPr>
              <w:jc w:val="right"/>
              <w:ind w:right="119"/>
              <w:spacing w:after="0"/>
              <w:rPr>
                <w:sz w:val="20"/>
                <w:szCs w:val="20"/>
                <w:color w:val="auto"/>
              </w:rPr>
            </w:pPr>
            <w:r>
              <w:rPr>
                <w:rFonts w:ascii="Arial" w:cs="Arial" w:eastAsia="Arial" w:hAnsi="Arial"/>
                <w:sz w:val="16"/>
                <w:szCs w:val="16"/>
                <w:color w:val="auto"/>
              </w:rPr>
              <w:t>25,235</w:t>
            </w:r>
          </w:p>
        </w:tc>
        <w:tc>
          <w:tcPr>
            <w:tcW w:w="120" w:type="dxa"/>
            <w:vAlign w:val="bottom"/>
            <w:shd w:val="clear" w:color="auto" w:fill="CCEDFF"/>
          </w:tcPr>
          <w:p>
            <w:pPr>
              <w:spacing w:after="0"/>
              <w:rPr>
                <w:sz w:val="16"/>
                <w:szCs w:val="16"/>
                <w:color w:val="auto"/>
              </w:rPr>
            </w:pPr>
          </w:p>
        </w:tc>
        <w:tc>
          <w:tcPr>
            <w:tcW w:w="160" w:type="dxa"/>
            <w:vAlign w:val="bottom"/>
            <w:shd w:val="clear" w:color="auto" w:fill="CCEDFF"/>
          </w:tcPr>
          <w:p>
            <w:pPr>
              <w:spacing w:after="0"/>
              <w:rPr>
                <w:sz w:val="16"/>
                <w:szCs w:val="16"/>
                <w:color w:val="auto"/>
              </w:rPr>
            </w:pPr>
          </w:p>
        </w:tc>
        <w:tc>
          <w:tcPr>
            <w:tcW w:w="1540" w:type="dxa"/>
            <w:vAlign w:val="bottom"/>
            <w:shd w:val="clear" w:color="auto" w:fill="CCEDFF"/>
          </w:tcPr>
          <w:p>
            <w:pPr>
              <w:jc w:val="right"/>
              <w:ind w:right="119"/>
              <w:spacing w:after="0"/>
              <w:rPr>
                <w:sz w:val="20"/>
                <w:szCs w:val="20"/>
                <w:color w:val="auto"/>
              </w:rPr>
            </w:pPr>
            <w:r>
              <w:rPr>
                <w:rFonts w:ascii="Arial" w:cs="Arial" w:eastAsia="Arial" w:hAnsi="Arial"/>
                <w:sz w:val="16"/>
                <w:szCs w:val="16"/>
                <w:color w:val="auto"/>
              </w:rPr>
              <w:t>35,368</w:t>
            </w:r>
          </w:p>
        </w:tc>
        <w:tc>
          <w:tcPr>
            <w:tcW w:w="120" w:type="dxa"/>
            <w:vAlign w:val="bottom"/>
            <w:shd w:val="clear" w:color="auto" w:fill="CCEDFF"/>
          </w:tcPr>
          <w:p>
            <w:pPr>
              <w:spacing w:after="0"/>
              <w:rPr>
                <w:sz w:val="16"/>
                <w:szCs w:val="16"/>
                <w:color w:val="auto"/>
              </w:rPr>
            </w:pPr>
          </w:p>
        </w:tc>
        <w:tc>
          <w:tcPr>
            <w:tcW w:w="240" w:type="dxa"/>
            <w:vAlign w:val="bottom"/>
            <w:shd w:val="clear" w:color="auto" w:fill="CCEDFF"/>
          </w:tcPr>
          <w:p>
            <w:pPr>
              <w:spacing w:after="0"/>
              <w:rPr>
                <w:sz w:val="16"/>
                <w:szCs w:val="16"/>
                <w:color w:val="auto"/>
              </w:rPr>
            </w:pPr>
          </w:p>
        </w:tc>
        <w:tc>
          <w:tcPr>
            <w:tcW w:w="1480" w:type="dxa"/>
            <w:vAlign w:val="bottom"/>
            <w:shd w:val="clear" w:color="auto" w:fill="CCEDFF"/>
          </w:tcPr>
          <w:p>
            <w:pPr>
              <w:jc w:val="right"/>
              <w:ind w:right="139"/>
              <w:spacing w:after="0"/>
              <w:rPr>
                <w:sz w:val="20"/>
                <w:szCs w:val="20"/>
                <w:color w:val="auto"/>
              </w:rPr>
            </w:pPr>
            <w:r>
              <w:rPr>
                <w:rFonts w:ascii="Arial" w:cs="Arial" w:eastAsia="Arial" w:hAnsi="Arial"/>
                <w:sz w:val="16"/>
                <w:szCs w:val="16"/>
                <w:color w:val="auto"/>
              </w:rPr>
              <w:t>43,242</w:t>
            </w:r>
          </w:p>
        </w:tc>
      </w:tr>
      <w:tr>
        <w:trPr>
          <w:trHeight w:val="189"/>
        </w:trPr>
        <w:tc>
          <w:tcPr>
            <w:tcW w:w="5900" w:type="dxa"/>
            <w:vAlign w:val="bottom"/>
            <w:gridSpan w:val="2"/>
          </w:tcPr>
          <w:p>
            <w:pPr>
              <w:spacing w:after="0"/>
              <w:rPr>
                <w:sz w:val="20"/>
                <w:szCs w:val="20"/>
                <w:color w:val="auto"/>
              </w:rPr>
            </w:pPr>
            <w:r>
              <w:rPr>
                <w:rFonts w:ascii="Arial" w:cs="Arial" w:eastAsia="Arial" w:hAnsi="Arial"/>
                <w:sz w:val="16"/>
                <w:szCs w:val="16"/>
                <w:color w:val="auto"/>
              </w:rPr>
              <w:t>Beginning equity</w:t>
            </w:r>
          </w:p>
        </w:tc>
        <w:tc>
          <w:tcPr>
            <w:tcW w:w="220" w:type="dxa"/>
            <w:vAlign w:val="bottom"/>
          </w:tcPr>
          <w:p>
            <w:pPr>
              <w:spacing w:after="0"/>
              <w:rPr>
                <w:sz w:val="16"/>
                <w:szCs w:val="16"/>
                <w:color w:val="auto"/>
              </w:rPr>
            </w:pP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978,376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958,156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ind w:right="139"/>
              <w:spacing w:after="0"/>
              <w:rPr>
                <w:sz w:val="20"/>
                <w:szCs w:val="20"/>
                <w:color w:val="auto"/>
              </w:rPr>
            </w:pPr>
            <w:r>
              <w:rPr>
                <w:rFonts w:ascii="Arial" w:cs="Arial" w:eastAsia="Arial" w:hAnsi="Arial"/>
                <w:sz w:val="16"/>
                <w:szCs w:val="16"/>
                <w:color w:val="auto"/>
              </w:rPr>
              <w:t>344,305</w:t>
            </w:r>
          </w:p>
        </w:tc>
      </w:tr>
      <w:tr>
        <w:trPr>
          <w:trHeight w:val="189"/>
        </w:trPr>
        <w:tc>
          <w:tcPr>
            <w:tcW w:w="5900" w:type="dxa"/>
            <w:vAlign w:val="bottom"/>
            <w:gridSpan w:val="2"/>
            <w:shd w:val="clear" w:color="auto" w:fill="CCEDFF"/>
          </w:tcPr>
          <w:p>
            <w:pPr>
              <w:spacing w:after="0"/>
              <w:rPr>
                <w:sz w:val="20"/>
                <w:szCs w:val="20"/>
                <w:color w:val="auto"/>
              </w:rPr>
            </w:pPr>
            <w:r>
              <w:rPr>
                <w:rFonts w:ascii="Arial" w:cs="Arial" w:eastAsia="Arial" w:hAnsi="Arial"/>
                <w:sz w:val="16"/>
                <w:szCs w:val="16"/>
                <w:color w:val="auto"/>
              </w:rPr>
              <w:t>Ending debt</w:t>
            </w:r>
          </w:p>
        </w:tc>
        <w:tc>
          <w:tcPr>
            <w:tcW w:w="220" w:type="dxa"/>
            <w:vAlign w:val="bottom"/>
            <w:shd w:val="clear" w:color="auto" w:fill="CCEDFF"/>
          </w:tcPr>
          <w:p>
            <w:pPr>
              <w:spacing w:after="0"/>
              <w:rPr>
                <w:sz w:val="16"/>
                <w:szCs w:val="16"/>
                <w:color w:val="auto"/>
              </w:rPr>
            </w:pPr>
          </w:p>
        </w:tc>
        <w:tc>
          <w:tcPr>
            <w:tcW w:w="1460" w:type="dxa"/>
            <w:vAlign w:val="bottom"/>
            <w:shd w:val="clear" w:color="auto" w:fill="CCEDFF"/>
          </w:tcPr>
          <w:p>
            <w:pPr>
              <w:jc w:val="right"/>
              <w:ind w:right="119"/>
              <w:spacing w:after="0"/>
              <w:rPr>
                <w:sz w:val="20"/>
                <w:szCs w:val="20"/>
                <w:color w:val="auto"/>
              </w:rPr>
            </w:pPr>
            <w:r>
              <w:rPr>
                <w:rFonts w:ascii="Arial" w:cs="Arial" w:eastAsia="Arial" w:hAnsi="Arial"/>
                <w:sz w:val="16"/>
                <w:szCs w:val="16"/>
                <w:color w:val="auto"/>
              </w:rPr>
              <w:t>24,212</w:t>
            </w:r>
          </w:p>
        </w:tc>
        <w:tc>
          <w:tcPr>
            <w:tcW w:w="120" w:type="dxa"/>
            <w:vAlign w:val="bottom"/>
            <w:shd w:val="clear" w:color="auto" w:fill="CCEDFF"/>
          </w:tcPr>
          <w:p>
            <w:pPr>
              <w:spacing w:after="0"/>
              <w:rPr>
                <w:sz w:val="16"/>
                <w:szCs w:val="16"/>
                <w:color w:val="auto"/>
              </w:rPr>
            </w:pPr>
          </w:p>
        </w:tc>
        <w:tc>
          <w:tcPr>
            <w:tcW w:w="160" w:type="dxa"/>
            <w:vAlign w:val="bottom"/>
            <w:shd w:val="clear" w:color="auto" w:fill="CCEDFF"/>
          </w:tcPr>
          <w:p>
            <w:pPr>
              <w:spacing w:after="0"/>
              <w:rPr>
                <w:sz w:val="16"/>
                <w:szCs w:val="16"/>
                <w:color w:val="auto"/>
              </w:rPr>
            </w:pPr>
          </w:p>
        </w:tc>
        <w:tc>
          <w:tcPr>
            <w:tcW w:w="1540" w:type="dxa"/>
            <w:vAlign w:val="bottom"/>
            <w:shd w:val="clear" w:color="auto" w:fill="CCEDFF"/>
          </w:tcPr>
          <w:p>
            <w:pPr>
              <w:jc w:val="right"/>
              <w:ind w:right="119"/>
              <w:spacing w:after="0"/>
              <w:rPr>
                <w:sz w:val="20"/>
                <w:szCs w:val="20"/>
                <w:color w:val="auto"/>
              </w:rPr>
            </w:pPr>
            <w:r>
              <w:rPr>
                <w:rFonts w:ascii="Arial" w:cs="Arial" w:eastAsia="Arial" w:hAnsi="Arial"/>
                <w:sz w:val="16"/>
                <w:szCs w:val="16"/>
                <w:color w:val="auto"/>
              </w:rPr>
              <w:t>25,631</w:t>
            </w:r>
          </w:p>
        </w:tc>
        <w:tc>
          <w:tcPr>
            <w:tcW w:w="120" w:type="dxa"/>
            <w:vAlign w:val="bottom"/>
            <w:shd w:val="clear" w:color="auto" w:fill="CCEDFF"/>
          </w:tcPr>
          <w:p>
            <w:pPr>
              <w:spacing w:after="0"/>
              <w:rPr>
                <w:sz w:val="16"/>
                <w:szCs w:val="16"/>
                <w:color w:val="auto"/>
              </w:rPr>
            </w:pPr>
          </w:p>
        </w:tc>
        <w:tc>
          <w:tcPr>
            <w:tcW w:w="240" w:type="dxa"/>
            <w:vAlign w:val="bottom"/>
            <w:shd w:val="clear" w:color="auto" w:fill="CCEDFF"/>
          </w:tcPr>
          <w:p>
            <w:pPr>
              <w:spacing w:after="0"/>
              <w:rPr>
                <w:sz w:val="16"/>
                <w:szCs w:val="16"/>
                <w:color w:val="auto"/>
              </w:rPr>
            </w:pPr>
          </w:p>
        </w:tc>
        <w:tc>
          <w:tcPr>
            <w:tcW w:w="1480" w:type="dxa"/>
            <w:vAlign w:val="bottom"/>
            <w:shd w:val="clear" w:color="auto" w:fill="CCEDFF"/>
          </w:tcPr>
          <w:p>
            <w:pPr>
              <w:jc w:val="right"/>
              <w:ind w:right="139"/>
              <w:spacing w:after="0"/>
              <w:rPr>
                <w:sz w:val="20"/>
                <w:szCs w:val="20"/>
                <w:color w:val="auto"/>
              </w:rPr>
            </w:pPr>
            <w:r>
              <w:rPr>
                <w:rFonts w:ascii="Arial" w:cs="Arial" w:eastAsia="Arial" w:hAnsi="Arial"/>
                <w:sz w:val="16"/>
                <w:szCs w:val="16"/>
                <w:color w:val="auto"/>
              </w:rPr>
              <w:t>25,235</w:t>
            </w:r>
          </w:p>
        </w:tc>
      </w:tr>
      <w:tr>
        <w:trPr>
          <w:trHeight w:val="189"/>
        </w:trPr>
        <w:tc>
          <w:tcPr>
            <w:tcW w:w="57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Ending equity</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1,030,905</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1,057,699</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978,376</w:t>
            </w:r>
          </w:p>
        </w:tc>
      </w:tr>
      <w:tr>
        <w:trPr>
          <w:trHeight w:val="183"/>
        </w:trPr>
        <w:tc>
          <w:tcPr>
            <w:tcW w:w="5780" w:type="dxa"/>
            <w:vAlign w:val="bottom"/>
            <w:tcBorders>
              <w:bottom w:val="single" w:sz="8" w:color="auto"/>
            </w:tcBorders>
            <w:shd w:val="clear" w:color="auto" w:fill="CCEDFF"/>
          </w:tcPr>
          <w:p>
            <w:pPr>
              <w:spacing w:after="0" w:line="183" w:lineRule="exact"/>
              <w:rPr>
                <w:sz w:val="20"/>
                <w:szCs w:val="20"/>
                <w:color w:val="auto"/>
              </w:rPr>
            </w:pPr>
            <w:r>
              <w:rPr>
                <w:rFonts w:ascii="Arial" w:cs="Arial" w:eastAsia="Arial" w:hAnsi="Arial"/>
                <w:sz w:val="16"/>
                <w:szCs w:val="16"/>
                <w:color w:val="auto"/>
              </w:rPr>
              <w:t>Average capital employed</w:t>
            </w:r>
          </w:p>
        </w:tc>
        <w:tc>
          <w:tcPr>
            <w:tcW w:w="120" w:type="dxa"/>
            <w:vAlign w:val="bottom"/>
            <w:tcBorders>
              <w:bottom w:val="single" w:sz="8" w:color="CCEDFF"/>
            </w:tcBorders>
            <w:shd w:val="clear" w:color="auto" w:fill="CCEDFF"/>
          </w:tcPr>
          <w:p>
            <w:pPr>
              <w:spacing w:after="0"/>
              <w:rPr>
                <w:sz w:val="15"/>
                <w:szCs w:val="15"/>
                <w:color w:val="auto"/>
              </w:rPr>
            </w:pPr>
          </w:p>
        </w:tc>
        <w:tc>
          <w:tcPr>
            <w:tcW w:w="220" w:type="dxa"/>
            <w:vAlign w:val="bottom"/>
            <w:tcBorders>
              <w:bottom w:val="single" w:sz="8" w:color="auto"/>
            </w:tcBorders>
            <w:shd w:val="clear" w:color="auto" w:fill="CCEDFF"/>
          </w:tcPr>
          <w:p>
            <w:pPr>
              <w:jc w:val="right"/>
              <w:ind w:right="64"/>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CEDFF"/>
          </w:tcPr>
          <w:p>
            <w:pPr>
              <w:jc w:val="right"/>
              <w:ind w:right="119"/>
              <w:spacing w:after="0" w:line="183" w:lineRule="exact"/>
              <w:rPr>
                <w:sz w:val="20"/>
                <w:szCs w:val="20"/>
                <w:color w:val="auto"/>
              </w:rPr>
            </w:pPr>
            <w:r>
              <w:rPr>
                <w:rFonts w:ascii="Arial" w:cs="Arial" w:eastAsia="Arial" w:hAnsi="Arial"/>
                <w:sz w:val="16"/>
                <w:szCs w:val="16"/>
                <w:color w:val="auto"/>
              </w:rPr>
              <w:t>1,029,364</w:t>
            </w:r>
          </w:p>
        </w:tc>
        <w:tc>
          <w:tcPr>
            <w:tcW w:w="120" w:type="dxa"/>
            <w:vAlign w:val="bottom"/>
            <w:tcBorders>
              <w:bottom w:val="single" w:sz="8" w:color="CCEDFF"/>
            </w:tcBorders>
            <w:shd w:val="clear" w:color="auto" w:fill="CCEDFF"/>
          </w:tcPr>
          <w:p>
            <w:pPr>
              <w:spacing w:after="0"/>
              <w:rPr>
                <w:sz w:val="15"/>
                <w:szCs w:val="15"/>
                <w:color w:val="auto"/>
              </w:rPr>
            </w:pPr>
          </w:p>
        </w:tc>
        <w:tc>
          <w:tcPr>
            <w:tcW w:w="160" w:type="dxa"/>
            <w:vAlign w:val="bottom"/>
            <w:tcBorders>
              <w:bottom w:val="single" w:sz="8" w:color="auto"/>
            </w:tcBorders>
            <w:shd w:val="clear" w:color="auto" w:fill="CCEDFF"/>
          </w:tcPr>
          <w:p>
            <w:pPr>
              <w:jc w:val="right"/>
              <w:spacing w:after="0" w:line="183" w:lineRule="exact"/>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DFF"/>
          </w:tcPr>
          <w:p>
            <w:pPr>
              <w:jc w:val="right"/>
              <w:ind w:right="119"/>
              <w:spacing w:after="0" w:line="183" w:lineRule="exact"/>
              <w:rPr>
                <w:sz w:val="20"/>
                <w:szCs w:val="20"/>
                <w:color w:val="auto"/>
              </w:rPr>
            </w:pPr>
            <w:r>
              <w:rPr>
                <w:rFonts w:ascii="Arial" w:cs="Arial" w:eastAsia="Arial" w:hAnsi="Arial"/>
                <w:sz w:val="16"/>
                <w:szCs w:val="16"/>
                <w:color w:val="auto"/>
              </w:rPr>
              <w:t>1,038,427</w:t>
            </w:r>
          </w:p>
        </w:tc>
        <w:tc>
          <w:tcPr>
            <w:tcW w:w="120" w:type="dxa"/>
            <w:vAlign w:val="bottom"/>
            <w:tcBorders>
              <w:bottom w:val="single" w:sz="8" w:color="CCEDFF"/>
            </w:tcBorders>
            <w:shd w:val="clear" w:color="auto" w:fill="CCEDFF"/>
          </w:tcPr>
          <w:p>
            <w:pPr>
              <w:spacing w:after="0"/>
              <w:rPr>
                <w:sz w:val="15"/>
                <w:szCs w:val="15"/>
                <w:color w:val="auto"/>
              </w:rPr>
            </w:pPr>
          </w:p>
        </w:tc>
        <w:tc>
          <w:tcPr>
            <w:tcW w:w="240" w:type="dxa"/>
            <w:vAlign w:val="bottom"/>
            <w:tcBorders>
              <w:bottom w:val="single" w:sz="8" w:color="auto"/>
            </w:tcBorders>
            <w:shd w:val="clear" w:color="auto" w:fill="CCEDFF"/>
          </w:tcPr>
          <w:p>
            <w:pPr>
              <w:jc w:val="right"/>
              <w:ind w:right="59"/>
              <w:spacing w:after="0" w:line="183" w:lineRule="exact"/>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DFF"/>
          </w:tcPr>
          <w:p>
            <w:pPr>
              <w:jc w:val="right"/>
              <w:ind w:right="139"/>
              <w:spacing w:after="0" w:line="183" w:lineRule="exact"/>
              <w:rPr>
                <w:sz w:val="20"/>
                <w:szCs w:val="20"/>
                <w:color w:val="auto"/>
              </w:rPr>
            </w:pPr>
            <w:r>
              <w:rPr>
                <w:rFonts w:ascii="Arial" w:cs="Arial" w:eastAsia="Arial" w:hAnsi="Arial"/>
                <w:sz w:val="16"/>
                <w:szCs w:val="16"/>
                <w:color w:val="auto"/>
              </w:rPr>
              <w:t>695,579</w:t>
            </w:r>
          </w:p>
        </w:tc>
      </w:tr>
      <w:tr>
        <w:trPr>
          <w:trHeight w:val="216"/>
        </w:trPr>
        <w:tc>
          <w:tcPr>
            <w:tcW w:w="5900" w:type="dxa"/>
            <w:vAlign w:val="bottom"/>
            <w:gridSpan w:val="2"/>
          </w:tcPr>
          <w:p>
            <w:pPr>
              <w:spacing w:after="0"/>
              <w:rPr>
                <w:sz w:val="20"/>
                <w:szCs w:val="20"/>
                <w:color w:val="auto"/>
              </w:rPr>
            </w:pPr>
            <w:r>
              <w:rPr>
                <w:rFonts w:ascii="Arial" w:cs="Arial" w:eastAsia="Arial" w:hAnsi="Arial"/>
                <w:sz w:val="16"/>
                <w:szCs w:val="16"/>
                <w:b w:val="1"/>
                <w:bCs w:val="1"/>
                <w:color w:val="auto"/>
              </w:rPr>
              <w:t>ROCE</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12%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10%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-886460</wp:posOffset>
            </wp:positionV>
            <wp:extent cx="768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-886460</wp:posOffset>
            </wp:positionV>
            <wp:extent cx="774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-886460</wp:posOffset>
            </wp:positionV>
            <wp:extent cx="768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-149225</wp:posOffset>
            </wp:positionV>
            <wp:extent cx="768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-149225</wp:posOffset>
            </wp:positionV>
            <wp:extent cx="774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-149225</wp:posOffset>
            </wp:positionV>
            <wp:extent cx="768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ind w:left="160" w:hanging="152"/>
        <w:spacing w:after="0"/>
        <w:tabs>
          <w:tab w:leader="none" w:pos="160" w:val="left"/>
        </w:tabs>
        <w:numPr>
          <w:ilvl w:val="0"/>
          <w:numId w:val="8"/>
        </w:numPr>
        <w:rPr>
          <w:rFonts w:ascii="Arial" w:cs="Arial" w:eastAsia="Arial" w:hAnsi="Arial"/>
          <w:sz w:val="18"/>
          <w:szCs w:val="18"/>
          <w:color w:val="auto"/>
          <w:vertAlign w:val="superscript"/>
        </w:rPr>
      </w:pPr>
      <w:r>
        <w:rPr>
          <w:rFonts w:ascii="Arial" w:cs="Arial" w:eastAsia="Arial" w:hAnsi="Arial"/>
          <w:sz w:val="13"/>
          <w:szCs w:val="13"/>
          <w:color w:val="auto"/>
        </w:rPr>
        <w:t xml:space="preserve">As defined in our </w:t>
      </w:r>
      <w:r>
        <w:rPr>
          <w:rFonts w:ascii="Arial" w:cs="Arial" w:eastAsia="Arial" w:hAnsi="Arial"/>
          <w:sz w:val="13"/>
          <w:szCs w:val="13"/>
          <w:i w:val="1"/>
          <w:iCs w:val="1"/>
          <w:color w:val="auto"/>
        </w:rPr>
        <w:t>Reconciliation of Net Income (Loss) Adjusted EBITDA</w:t>
      </w:r>
      <w:r>
        <w:rPr>
          <w:rFonts w:ascii="Arial" w:cs="Arial" w:eastAsia="Arial" w:hAnsi="Arial"/>
          <w:sz w:val="13"/>
          <w:szCs w:val="13"/>
          <w:color w:val="auto"/>
        </w:rPr>
        <w:t xml:space="preserve"> above.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Innovex International, Inc.</w:t>
      </w:r>
    </w:p>
    <w:p>
      <w:pPr>
        <w:jc w:val="center"/>
        <w:spacing w:after="0" w:line="231" w:lineRule="auto"/>
        <w:rPr>
          <w:sz w:val="20"/>
          <w:szCs w:val="20"/>
          <w:color w:val="auto"/>
        </w:rPr>
      </w:pPr>
      <w:r>
        <w:rPr>
          <w:rFonts w:ascii="Arial" w:cs="Arial" w:eastAsia="Arial" w:hAnsi="Arial"/>
          <w:sz w:val="20"/>
          <w:szCs w:val="20"/>
          <w:b w:val="1"/>
          <w:bCs w:val="1"/>
          <w:color w:val="auto"/>
        </w:rPr>
        <w:t>Reconciliation of Net Cash from Operations to Free Cash Flow</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r>
      <w:tr>
        <w:trPr>
          <w:trHeight w:val="168"/>
        </w:trPr>
        <w:tc>
          <w:tcPr>
            <w:tcW w:w="5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jc w:val="right"/>
              <w:ind w:right="459"/>
              <w:spacing w:after="0" w:line="168" w:lineRule="exact"/>
              <w:rPr>
                <w:sz w:val="20"/>
                <w:szCs w:val="20"/>
                <w:color w:val="auto"/>
              </w:rPr>
            </w:pPr>
            <w:r>
              <w:rPr>
                <w:rFonts w:ascii="Arial" w:cs="Arial" w:eastAsia="Arial" w:hAnsi="Arial"/>
                <w:sz w:val="16"/>
                <w:szCs w:val="16"/>
                <w:b w:val="1"/>
                <w:bCs w:val="1"/>
                <w:color w:val="auto"/>
              </w:rPr>
              <w:t>March 31,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jc w:val="right"/>
              <w:ind w:right="299"/>
              <w:spacing w:after="0" w:line="168" w:lineRule="exact"/>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right"/>
              <w:ind w:right="479"/>
              <w:spacing w:after="0" w:line="168" w:lineRule="exact"/>
              <w:rPr>
                <w:sz w:val="20"/>
                <w:szCs w:val="20"/>
                <w:color w:val="auto"/>
              </w:rPr>
            </w:pPr>
            <w:r>
              <w:rPr>
                <w:rFonts w:ascii="Arial" w:cs="Arial" w:eastAsia="Arial" w:hAnsi="Arial"/>
                <w:sz w:val="16"/>
                <w:szCs w:val="16"/>
                <w:b w:val="1"/>
                <w:bCs w:val="1"/>
                <w:color w:val="auto"/>
              </w:rPr>
              <w:t>March 31,</w:t>
            </w:r>
          </w:p>
        </w:tc>
      </w:tr>
      <w:tr>
        <w:trPr>
          <w:trHeight w:val="203"/>
        </w:trPr>
        <w:tc>
          <w:tcPr>
            <w:tcW w:w="578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2026</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2025</w:t>
            </w:r>
          </w:p>
        </w:tc>
      </w:tr>
      <w:tr>
        <w:trPr>
          <w:trHeight w:val="183"/>
        </w:trPr>
        <w:tc>
          <w:tcPr>
            <w:tcW w:w="5780" w:type="dxa"/>
            <w:vAlign w:val="bottom"/>
            <w:shd w:val="clear" w:color="auto" w:fill="CCEDFF"/>
          </w:tcPr>
          <w:p>
            <w:pPr>
              <w:spacing w:after="0" w:line="183" w:lineRule="exact"/>
              <w:rPr>
                <w:sz w:val="20"/>
                <w:szCs w:val="20"/>
                <w:color w:val="auto"/>
              </w:rPr>
            </w:pPr>
            <w:r>
              <w:rPr>
                <w:rFonts w:ascii="Arial" w:cs="Arial" w:eastAsia="Arial" w:hAnsi="Arial"/>
                <w:sz w:val="16"/>
                <w:szCs w:val="16"/>
                <w:color w:val="auto"/>
              </w:rPr>
              <w:t>Net cash provided by operating activities</w:t>
            </w:r>
          </w:p>
        </w:tc>
        <w:tc>
          <w:tcPr>
            <w:tcW w:w="380" w:type="dxa"/>
            <w:vAlign w:val="bottom"/>
            <w:gridSpan w:val="2"/>
            <w:shd w:val="clear" w:color="auto" w:fill="CCEDFF"/>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144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19,840</w:t>
            </w:r>
          </w:p>
        </w:tc>
        <w:tc>
          <w:tcPr>
            <w:tcW w:w="280" w:type="dxa"/>
            <w:vAlign w:val="bottom"/>
            <w:gridSpan w:val="2"/>
            <w:shd w:val="clear" w:color="auto" w:fill="CCEDFF"/>
          </w:tcPr>
          <w:p>
            <w:pPr>
              <w:ind w:left="120"/>
              <w:spacing w:after="0" w:line="183" w:lineRule="exact"/>
              <w:rPr>
                <w:sz w:val="20"/>
                <w:szCs w:val="20"/>
                <w:color w:val="auto"/>
              </w:rPr>
            </w:pPr>
            <w:r>
              <w:rPr>
                <w:rFonts w:ascii="Arial" w:cs="Arial" w:eastAsia="Arial" w:hAnsi="Arial"/>
                <w:sz w:val="16"/>
                <w:szCs w:val="16"/>
                <w:color w:val="auto"/>
              </w:rPr>
              <w:t>$</w:t>
            </w:r>
          </w:p>
        </w:tc>
        <w:tc>
          <w:tcPr>
            <w:tcW w:w="152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52,238</w:t>
            </w:r>
          </w:p>
        </w:tc>
        <w:tc>
          <w:tcPr>
            <w:tcW w:w="380" w:type="dxa"/>
            <w:vAlign w:val="bottom"/>
            <w:gridSpan w:val="2"/>
            <w:shd w:val="clear" w:color="auto" w:fill="CCEDFF"/>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1460" w:type="dxa"/>
            <w:vAlign w:val="bottom"/>
            <w:shd w:val="clear" w:color="auto" w:fill="CCEDFF"/>
          </w:tcPr>
          <w:p>
            <w:pPr>
              <w:jc w:val="right"/>
              <w:ind w:right="59"/>
              <w:spacing w:after="0" w:line="183" w:lineRule="exact"/>
              <w:rPr>
                <w:sz w:val="20"/>
                <w:szCs w:val="20"/>
                <w:color w:val="auto"/>
              </w:rPr>
            </w:pPr>
            <w:r>
              <w:rPr>
                <w:rFonts w:ascii="Arial" w:cs="Arial" w:eastAsia="Arial" w:hAnsi="Arial"/>
                <w:sz w:val="16"/>
                <w:szCs w:val="16"/>
                <w:color w:val="auto"/>
              </w:rPr>
              <w:t>31,090</w:t>
            </w:r>
          </w:p>
        </w:tc>
      </w:tr>
      <w:tr>
        <w:trPr>
          <w:trHeight w:val="189"/>
        </w:trPr>
        <w:tc>
          <w:tcPr>
            <w:tcW w:w="57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Capital expenditures</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(5,827)</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(8,927)</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(7,056)</w:t>
            </w:r>
          </w:p>
        </w:tc>
      </w:tr>
      <w:tr>
        <w:trPr>
          <w:trHeight w:val="183"/>
        </w:trPr>
        <w:tc>
          <w:tcPr>
            <w:tcW w:w="5780" w:type="dxa"/>
            <w:vAlign w:val="bottom"/>
            <w:shd w:val="clear" w:color="auto" w:fill="CCEDFF"/>
          </w:tcPr>
          <w:p>
            <w:pPr>
              <w:ind w:left="60"/>
              <w:spacing w:after="0" w:line="183" w:lineRule="exact"/>
              <w:rPr>
                <w:sz w:val="20"/>
                <w:szCs w:val="20"/>
                <w:color w:val="auto"/>
              </w:rPr>
            </w:pPr>
            <w:r>
              <w:rPr>
                <w:rFonts w:ascii="Arial" w:cs="Arial" w:eastAsia="Arial" w:hAnsi="Arial"/>
                <w:sz w:val="16"/>
                <w:szCs w:val="16"/>
                <w:b w:val="1"/>
                <w:bCs w:val="1"/>
                <w:color w:val="auto"/>
              </w:rPr>
              <w:t>Free Cash Flow</w:t>
            </w:r>
          </w:p>
        </w:tc>
        <w:tc>
          <w:tcPr>
            <w:tcW w:w="380" w:type="dxa"/>
            <w:vAlign w:val="bottom"/>
            <w:gridSpan w:val="2"/>
            <w:shd w:val="clear" w:color="auto" w:fill="CCEDFF"/>
          </w:tcPr>
          <w:p>
            <w:pPr>
              <w:jc w:val="right"/>
              <w:ind w:right="160"/>
              <w:spacing w:after="0" w:line="183" w:lineRule="exact"/>
              <w:rPr>
                <w:sz w:val="20"/>
                <w:szCs w:val="20"/>
                <w:color w:val="auto"/>
              </w:rPr>
            </w:pPr>
            <w:r>
              <w:rPr>
                <w:rFonts w:ascii="Arial" w:cs="Arial" w:eastAsia="Arial" w:hAnsi="Arial"/>
                <w:sz w:val="16"/>
                <w:szCs w:val="16"/>
                <w:b w:val="1"/>
                <w:bCs w:val="1"/>
                <w:color w:val="auto"/>
              </w:rPr>
              <w:t>$</w:t>
            </w:r>
          </w:p>
        </w:tc>
        <w:tc>
          <w:tcPr>
            <w:tcW w:w="144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b w:val="1"/>
                <w:bCs w:val="1"/>
                <w:color w:val="auto"/>
              </w:rPr>
              <w:t>14,013</w:t>
            </w:r>
          </w:p>
        </w:tc>
        <w:tc>
          <w:tcPr>
            <w:tcW w:w="280" w:type="dxa"/>
            <w:vAlign w:val="bottom"/>
            <w:gridSpan w:val="2"/>
            <w:shd w:val="clear" w:color="auto" w:fill="CCEDFF"/>
          </w:tcPr>
          <w:p>
            <w:pPr>
              <w:ind w:left="120"/>
              <w:spacing w:after="0" w:line="183" w:lineRule="exact"/>
              <w:rPr>
                <w:sz w:val="20"/>
                <w:szCs w:val="20"/>
                <w:color w:val="auto"/>
              </w:rPr>
            </w:pPr>
            <w:r>
              <w:rPr>
                <w:rFonts w:ascii="Arial" w:cs="Arial" w:eastAsia="Arial" w:hAnsi="Arial"/>
                <w:sz w:val="16"/>
                <w:szCs w:val="16"/>
                <w:b w:val="1"/>
                <w:bCs w:val="1"/>
                <w:color w:val="auto"/>
              </w:rPr>
              <w:t>$</w:t>
            </w:r>
          </w:p>
        </w:tc>
        <w:tc>
          <w:tcPr>
            <w:tcW w:w="152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b w:val="1"/>
                <w:bCs w:val="1"/>
                <w:color w:val="auto"/>
              </w:rPr>
              <w:t>43,311</w:t>
            </w:r>
          </w:p>
        </w:tc>
        <w:tc>
          <w:tcPr>
            <w:tcW w:w="380" w:type="dxa"/>
            <w:vAlign w:val="bottom"/>
            <w:gridSpan w:val="2"/>
            <w:shd w:val="clear" w:color="auto" w:fill="CCEDFF"/>
          </w:tcPr>
          <w:p>
            <w:pPr>
              <w:jc w:val="right"/>
              <w:ind w:right="160"/>
              <w:spacing w:after="0" w:line="183" w:lineRule="exact"/>
              <w:rPr>
                <w:sz w:val="20"/>
                <w:szCs w:val="20"/>
                <w:color w:val="auto"/>
              </w:rPr>
            </w:pPr>
            <w:r>
              <w:rPr>
                <w:rFonts w:ascii="Arial" w:cs="Arial" w:eastAsia="Arial" w:hAnsi="Arial"/>
                <w:sz w:val="16"/>
                <w:szCs w:val="16"/>
                <w:b w:val="1"/>
                <w:bCs w:val="1"/>
                <w:color w:val="auto"/>
              </w:rPr>
              <w:t>$</w:t>
            </w:r>
          </w:p>
        </w:tc>
        <w:tc>
          <w:tcPr>
            <w:tcW w:w="1460" w:type="dxa"/>
            <w:vAlign w:val="bottom"/>
            <w:shd w:val="clear" w:color="auto" w:fill="CCEDFF"/>
          </w:tcPr>
          <w:p>
            <w:pPr>
              <w:jc w:val="right"/>
              <w:ind w:right="59"/>
              <w:spacing w:after="0" w:line="183" w:lineRule="exact"/>
              <w:rPr>
                <w:sz w:val="20"/>
                <w:szCs w:val="20"/>
                <w:color w:val="auto"/>
              </w:rPr>
            </w:pPr>
            <w:r>
              <w:rPr>
                <w:rFonts w:ascii="Arial" w:cs="Arial" w:eastAsia="Arial" w:hAnsi="Arial"/>
                <w:sz w:val="16"/>
                <w:szCs w:val="16"/>
                <w:b w:val="1"/>
                <w:bCs w:val="1"/>
                <w:color w:val="auto"/>
              </w:rPr>
              <w:t>24,034</w:t>
            </w:r>
          </w:p>
        </w:tc>
      </w:tr>
    </w:tbl>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Innovex International, Inc.</w:t>
      </w:r>
    </w:p>
    <w:p>
      <w:pPr>
        <w:jc w:val="center"/>
        <w:spacing w:after="0" w:line="231" w:lineRule="auto"/>
        <w:rPr>
          <w:sz w:val="20"/>
          <w:szCs w:val="20"/>
          <w:color w:val="auto"/>
        </w:rPr>
      </w:pPr>
      <w:r>
        <w:rPr>
          <w:rFonts w:ascii="Arial" w:cs="Arial" w:eastAsia="Arial" w:hAnsi="Arial"/>
          <w:sz w:val="20"/>
          <w:szCs w:val="20"/>
          <w:b w:val="1"/>
          <w:bCs w:val="1"/>
          <w:color w:val="auto"/>
        </w:rPr>
        <w:t>Geographic Revenue Details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r>
      <w:tr>
        <w:trPr>
          <w:trHeight w:val="168"/>
        </w:trPr>
        <w:tc>
          <w:tcPr>
            <w:tcW w:w="5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jc w:val="right"/>
              <w:ind w:right="459"/>
              <w:spacing w:after="0" w:line="168" w:lineRule="exact"/>
              <w:rPr>
                <w:sz w:val="20"/>
                <w:szCs w:val="20"/>
                <w:color w:val="auto"/>
              </w:rPr>
            </w:pPr>
            <w:r>
              <w:rPr>
                <w:rFonts w:ascii="Arial" w:cs="Arial" w:eastAsia="Arial" w:hAnsi="Arial"/>
                <w:sz w:val="16"/>
                <w:szCs w:val="16"/>
                <w:b w:val="1"/>
                <w:bCs w:val="1"/>
                <w:color w:val="auto"/>
              </w:rPr>
              <w:t>March 31,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jc w:val="right"/>
              <w:ind w:right="299"/>
              <w:spacing w:after="0" w:line="168" w:lineRule="exact"/>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right"/>
              <w:ind w:right="479"/>
              <w:spacing w:after="0" w:line="168" w:lineRule="exact"/>
              <w:rPr>
                <w:sz w:val="20"/>
                <w:szCs w:val="20"/>
                <w:color w:val="auto"/>
              </w:rPr>
            </w:pPr>
            <w:r>
              <w:rPr>
                <w:rFonts w:ascii="Arial" w:cs="Arial" w:eastAsia="Arial" w:hAnsi="Arial"/>
                <w:sz w:val="16"/>
                <w:szCs w:val="16"/>
                <w:b w:val="1"/>
                <w:bCs w:val="1"/>
                <w:color w:val="auto"/>
              </w:rPr>
              <w:t>March 31,</w:t>
            </w:r>
          </w:p>
        </w:tc>
      </w:tr>
      <w:tr>
        <w:trPr>
          <w:trHeight w:val="203"/>
        </w:trPr>
        <w:tc>
          <w:tcPr>
            <w:tcW w:w="578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2026</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2025</w:t>
            </w:r>
          </w:p>
        </w:tc>
      </w:tr>
      <w:tr>
        <w:trPr>
          <w:trHeight w:val="183"/>
        </w:trPr>
        <w:tc>
          <w:tcPr>
            <w:tcW w:w="5780" w:type="dxa"/>
            <w:vAlign w:val="bottom"/>
            <w:shd w:val="clear" w:color="auto" w:fill="CCEDFF"/>
          </w:tcPr>
          <w:p>
            <w:pPr>
              <w:spacing w:after="0" w:line="183" w:lineRule="exact"/>
              <w:rPr>
                <w:sz w:val="20"/>
                <w:szCs w:val="20"/>
                <w:color w:val="auto"/>
              </w:rPr>
            </w:pPr>
            <w:r>
              <w:rPr>
                <w:rFonts w:ascii="Arial" w:cs="Arial" w:eastAsia="Arial" w:hAnsi="Arial"/>
                <w:sz w:val="16"/>
                <w:szCs w:val="16"/>
                <w:b w:val="1"/>
                <w:bCs w:val="1"/>
                <w:color w:val="auto"/>
              </w:rPr>
              <w:t>North America Onshore ("NAM")</w:t>
            </w:r>
          </w:p>
        </w:tc>
        <w:tc>
          <w:tcPr>
            <w:tcW w:w="120" w:type="dxa"/>
            <w:vAlign w:val="bottom"/>
            <w:shd w:val="clear" w:color="auto" w:fill="CCEDFF"/>
          </w:tcPr>
          <w:p>
            <w:pPr>
              <w:spacing w:after="0"/>
              <w:rPr>
                <w:sz w:val="15"/>
                <w:szCs w:val="15"/>
                <w:color w:val="auto"/>
              </w:rPr>
            </w:pPr>
          </w:p>
        </w:tc>
        <w:tc>
          <w:tcPr>
            <w:tcW w:w="260" w:type="dxa"/>
            <w:vAlign w:val="bottom"/>
            <w:shd w:val="clear" w:color="auto" w:fill="CCEDFF"/>
          </w:tcPr>
          <w:p>
            <w:pPr>
              <w:spacing w:after="0"/>
              <w:rPr>
                <w:sz w:val="15"/>
                <w:szCs w:val="15"/>
                <w:color w:val="auto"/>
              </w:rPr>
            </w:pPr>
          </w:p>
        </w:tc>
        <w:tc>
          <w:tcPr>
            <w:tcW w:w="1440" w:type="dxa"/>
            <w:vAlign w:val="bottom"/>
            <w:shd w:val="clear" w:color="auto" w:fill="CCEDFF"/>
          </w:tcPr>
          <w:p>
            <w:pPr>
              <w:spacing w:after="0"/>
              <w:rPr>
                <w:sz w:val="15"/>
                <w:szCs w:val="15"/>
                <w:color w:val="auto"/>
              </w:rPr>
            </w:pPr>
          </w:p>
        </w:tc>
        <w:tc>
          <w:tcPr>
            <w:tcW w:w="120" w:type="dxa"/>
            <w:vAlign w:val="bottom"/>
            <w:shd w:val="clear" w:color="auto" w:fill="CCEDFF"/>
          </w:tcPr>
          <w:p>
            <w:pPr>
              <w:spacing w:after="0"/>
              <w:rPr>
                <w:sz w:val="15"/>
                <w:szCs w:val="15"/>
                <w:color w:val="auto"/>
              </w:rPr>
            </w:pPr>
          </w:p>
        </w:tc>
        <w:tc>
          <w:tcPr>
            <w:tcW w:w="160" w:type="dxa"/>
            <w:vAlign w:val="bottom"/>
            <w:shd w:val="clear" w:color="auto" w:fill="CCEDFF"/>
          </w:tcPr>
          <w:p>
            <w:pPr>
              <w:spacing w:after="0"/>
              <w:rPr>
                <w:sz w:val="15"/>
                <w:szCs w:val="15"/>
                <w:color w:val="auto"/>
              </w:rPr>
            </w:pPr>
          </w:p>
        </w:tc>
        <w:tc>
          <w:tcPr>
            <w:tcW w:w="1520" w:type="dxa"/>
            <w:vAlign w:val="bottom"/>
            <w:shd w:val="clear" w:color="auto" w:fill="CCEDFF"/>
          </w:tcPr>
          <w:p>
            <w:pPr>
              <w:spacing w:after="0"/>
              <w:rPr>
                <w:sz w:val="15"/>
                <w:szCs w:val="15"/>
                <w:color w:val="auto"/>
              </w:rPr>
            </w:pPr>
          </w:p>
        </w:tc>
        <w:tc>
          <w:tcPr>
            <w:tcW w:w="120" w:type="dxa"/>
            <w:vAlign w:val="bottom"/>
            <w:shd w:val="clear" w:color="auto" w:fill="CCEDFF"/>
          </w:tcPr>
          <w:p>
            <w:pPr>
              <w:spacing w:after="0"/>
              <w:rPr>
                <w:sz w:val="15"/>
                <w:szCs w:val="15"/>
                <w:color w:val="auto"/>
              </w:rPr>
            </w:pPr>
          </w:p>
        </w:tc>
        <w:tc>
          <w:tcPr>
            <w:tcW w:w="260" w:type="dxa"/>
            <w:vAlign w:val="bottom"/>
            <w:shd w:val="clear" w:color="auto" w:fill="CCEDFF"/>
          </w:tcPr>
          <w:p>
            <w:pPr>
              <w:spacing w:after="0"/>
              <w:rPr>
                <w:sz w:val="15"/>
                <w:szCs w:val="15"/>
                <w:color w:val="auto"/>
              </w:rPr>
            </w:pPr>
          </w:p>
        </w:tc>
        <w:tc>
          <w:tcPr>
            <w:tcW w:w="1460" w:type="dxa"/>
            <w:vAlign w:val="bottom"/>
            <w:shd w:val="clear" w:color="auto" w:fill="CCEDFF"/>
          </w:tcPr>
          <w:p>
            <w:pPr>
              <w:spacing w:after="0"/>
              <w:rPr>
                <w:sz w:val="15"/>
                <w:szCs w:val="15"/>
                <w:color w:val="auto"/>
              </w:rPr>
            </w:pPr>
          </w:p>
        </w:tc>
      </w:tr>
      <w:tr>
        <w:trPr>
          <w:trHeight w:val="189"/>
        </w:trPr>
        <w:tc>
          <w:tcPr>
            <w:tcW w:w="5780" w:type="dxa"/>
            <w:vAlign w:val="bottom"/>
          </w:tcPr>
          <w:p>
            <w:pPr>
              <w:spacing w:after="0"/>
              <w:rPr>
                <w:sz w:val="20"/>
                <w:szCs w:val="20"/>
                <w:color w:val="auto"/>
              </w:rPr>
            </w:pPr>
            <w:r>
              <w:rPr>
                <w:rFonts w:ascii="Arial" w:cs="Arial" w:eastAsia="Arial" w:hAnsi="Arial"/>
                <w:sz w:val="16"/>
                <w:szCs w:val="16"/>
                <w:color w:val="auto"/>
              </w:rPr>
              <w:t>Products</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89,522</w:t>
            </w:r>
          </w:p>
        </w:tc>
        <w:tc>
          <w:tcPr>
            <w:tcW w:w="28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93,767</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75,255</w:t>
            </w:r>
          </w:p>
        </w:tc>
      </w:tr>
      <w:tr>
        <w:trPr>
          <w:trHeight w:val="189"/>
        </w:trPr>
        <w:tc>
          <w:tcPr>
            <w:tcW w:w="5780" w:type="dxa"/>
            <w:vAlign w:val="bottom"/>
            <w:shd w:val="clear" w:color="auto" w:fill="CCEDFF"/>
          </w:tcPr>
          <w:p>
            <w:pPr>
              <w:spacing w:after="0"/>
              <w:rPr>
                <w:sz w:val="20"/>
                <w:szCs w:val="20"/>
                <w:color w:val="auto"/>
              </w:rPr>
            </w:pPr>
            <w:r>
              <w:rPr>
                <w:rFonts w:ascii="Arial" w:cs="Arial" w:eastAsia="Arial" w:hAnsi="Arial"/>
                <w:sz w:val="16"/>
                <w:szCs w:val="16"/>
                <w:color w:val="auto"/>
              </w:rPr>
              <w:t>Services</w:t>
            </w:r>
          </w:p>
        </w:tc>
        <w:tc>
          <w:tcPr>
            <w:tcW w:w="120" w:type="dxa"/>
            <w:vAlign w:val="bottom"/>
            <w:shd w:val="clear" w:color="auto" w:fill="CCEDFF"/>
          </w:tcPr>
          <w:p>
            <w:pPr>
              <w:spacing w:after="0"/>
              <w:rPr>
                <w:sz w:val="16"/>
                <w:szCs w:val="16"/>
                <w:color w:val="auto"/>
              </w:rPr>
            </w:pPr>
          </w:p>
        </w:tc>
        <w:tc>
          <w:tcPr>
            <w:tcW w:w="260" w:type="dxa"/>
            <w:vAlign w:val="bottom"/>
            <w:shd w:val="clear" w:color="auto" w:fill="CCEDFF"/>
          </w:tcPr>
          <w:p>
            <w:pPr>
              <w:spacing w:after="0"/>
              <w:rPr>
                <w:sz w:val="16"/>
                <w:szCs w:val="16"/>
                <w:color w:val="auto"/>
              </w:rPr>
            </w:pPr>
          </w:p>
        </w:tc>
        <w:tc>
          <w:tcPr>
            <w:tcW w:w="144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17,020</w:t>
            </w:r>
          </w:p>
        </w:tc>
        <w:tc>
          <w:tcPr>
            <w:tcW w:w="120" w:type="dxa"/>
            <w:vAlign w:val="bottom"/>
            <w:shd w:val="clear" w:color="auto" w:fill="CCEDFF"/>
          </w:tcPr>
          <w:p>
            <w:pPr>
              <w:spacing w:after="0"/>
              <w:rPr>
                <w:sz w:val="16"/>
                <w:szCs w:val="16"/>
                <w:color w:val="auto"/>
              </w:rPr>
            </w:pPr>
          </w:p>
        </w:tc>
        <w:tc>
          <w:tcPr>
            <w:tcW w:w="160" w:type="dxa"/>
            <w:vAlign w:val="bottom"/>
            <w:shd w:val="clear" w:color="auto" w:fill="CCEDFF"/>
          </w:tcPr>
          <w:p>
            <w:pPr>
              <w:spacing w:after="0"/>
              <w:rPr>
                <w:sz w:val="16"/>
                <w:szCs w:val="16"/>
                <w:color w:val="auto"/>
              </w:rPr>
            </w:pPr>
          </w:p>
        </w:tc>
        <w:tc>
          <w:tcPr>
            <w:tcW w:w="152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15,981</w:t>
            </w:r>
          </w:p>
        </w:tc>
        <w:tc>
          <w:tcPr>
            <w:tcW w:w="120" w:type="dxa"/>
            <w:vAlign w:val="bottom"/>
            <w:shd w:val="clear" w:color="auto" w:fill="CCEDFF"/>
          </w:tcPr>
          <w:p>
            <w:pPr>
              <w:spacing w:after="0"/>
              <w:rPr>
                <w:sz w:val="16"/>
                <w:szCs w:val="16"/>
                <w:color w:val="auto"/>
              </w:rPr>
            </w:pPr>
          </w:p>
        </w:tc>
        <w:tc>
          <w:tcPr>
            <w:tcW w:w="260" w:type="dxa"/>
            <w:vAlign w:val="bottom"/>
            <w:shd w:val="clear" w:color="auto" w:fill="CCEDFF"/>
          </w:tcPr>
          <w:p>
            <w:pPr>
              <w:spacing w:after="0"/>
              <w:rPr>
                <w:sz w:val="16"/>
                <w:szCs w:val="16"/>
                <w:color w:val="auto"/>
              </w:rPr>
            </w:pPr>
          </w:p>
        </w:tc>
        <w:tc>
          <w:tcPr>
            <w:tcW w:w="1460" w:type="dxa"/>
            <w:vAlign w:val="bottom"/>
            <w:shd w:val="clear" w:color="auto" w:fill="CCEDFF"/>
          </w:tcPr>
          <w:p>
            <w:pPr>
              <w:jc w:val="right"/>
              <w:ind w:right="59"/>
              <w:spacing w:after="0"/>
              <w:rPr>
                <w:sz w:val="20"/>
                <w:szCs w:val="20"/>
                <w:color w:val="auto"/>
              </w:rPr>
            </w:pPr>
            <w:r>
              <w:rPr>
                <w:rFonts w:ascii="Arial" w:cs="Arial" w:eastAsia="Arial" w:hAnsi="Arial"/>
                <w:sz w:val="16"/>
                <w:szCs w:val="16"/>
                <w:color w:val="auto"/>
              </w:rPr>
              <w:t>16,749</w:t>
            </w:r>
          </w:p>
        </w:tc>
      </w:tr>
      <w:tr>
        <w:trPr>
          <w:trHeight w:val="189"/>
        </w:trPr>
        <w:tc>
          <w:tcPr>
            <w:tcW w:w="57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Rental</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30,164</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28,995</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28,513</w:t>
            </w:r>
          </w:p>
        </w:tc>
      </w:tr>
      <w:tr>
        <w:trPr>
          <w:trHeight w:val="183"/>
        </w:trPr>
        <w:tc>
          <w:tcPr>
            <w:tcW w:w="5780" w:type="dxa"/>
            <w:vAlign w:val="bottom"/>
            <w:shd w:val="clear" w:color="auto" w:fill="CCEDFF"/>
          </w:tcPr>
          <w:p>
            <w:pPr>
              <w:ind w:left="60"/>
              <w:spacing w:after="0" w:line="183" w:lineRule="exact"/>
              <w:rPr>
                <w:sz w:val="20"/>
                <w:szCs w:val="20"/>
                <w:color w:val="auto"/>
              </w:rPr>
            </w:pPr>
            <w:r>
              <w:rPr>
                <w:rFonts w:ascii="Arial" w:cs="Arial" w:eastAsia="Arial" w:hAnsi="Arial"/>
                <w:sz w:val="16"/>
                <w:szCs w:val="16"/>
                <w:color w:val="auto"/>
              </w:rPr>
              <w:t>Revenue - North America Onshore</w:t>
            </w:r>
          </w:p>
        </w:tc>
        <w:tc>
          <w:tcPr>
            <w:tcW w:w="120" w:type="dxa"/>
            <w:vAlign w:val="bottom"/>
            <w:shd w:val="clear" w:color="auto" w:fill="CCEDFF"/>
          </w:tcPr>
          <w:p>
            <w:pPr>
              <w:spacing w:after="0"/>
              <w:rPr>
                <w:sz w:val="15"/>
                <w:szCs w:val="15"/>
                <w:color w:val="auto"/>
              </w:rPr>
            </w:pPr>
          </w:p>
        </w:tc>
        <w:tc>
          <w:tcPr>
            <w:tcW w:w="260" w:type="dxa"/>
            <w:vAlign w:val="bottom"/>
            <w:shd w:val="clear" w:color="auto" w:fill="CCEDFF"/>
          </w:tcPr>
          <w:p>
            <w:pPr>
              <w:spacing w:after="0"/>
              <w:rPr>
                <w:sz w:val="15"/>
                <w:szCs w:val="15"/>
                <w:color w:val="auto"/>
              </w:rPr>
            </w:pPr>
          </w:p>
        </w:tc>
        <w:tc>
          <w:tcPr>
            <w:tcW w:w="144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136,706</w:t>
            </w:r>
          </w:p>
        </w:tc>
        <w:tc>
          <w:tcPr>
            <w:tcW w:w="120" w:type="dxa"/>
            <w:vAlign w:val="bottom"/>
            <w:shd w:val="clear" w:color="auto" w:fill="CCEDFF"/>
          </w:tcPr>
          <w:p>
            <w:pPr>
              <w:spacing w:after="0"/>
              <w:rPr>
                <w:sz w:val="15"/>
                <w:szCs w:val="15"/>
                <w:color w:val="auto"/>
              </w:rPr>
            </w:pPr>
          </w:p>
        </w:tc>
        <w:tc>
          <w:tcPr>
            <w:tcW w:w="160" w:type="dxa"/>
            <w:vAlign w:val="bottom"/>
            <w:shd w:val="clear" w:color="auto" w:fill="CCEDFF"/>
          </w:tcPr>
          <w:p>
            <w:pPr>
              <w:spacing w:after="0"/>
              <w:rPr>
                <w:sz w:val="15"/>
                <w:szCs w:val="15"/>
                <w:color w:val="auto"/>
              </w:rPr>
            </w:pPr>
          </w:p>
        </w:tc>
        <w:tc>
          <w:tcPr>
            <w:tcW w:w="152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138,743</w:t>
            </w:r>
          </w:p>
        </w:tc>
        <w:tc>
          <w:tcPr>
            <w:tcW w:w="120" w:type="dxa"/>
            <w:vAlign w:val="bottom"/>
            <w:shd w:val="clear" w:color="auto" w:fill="CCEDFF"/>
          </w:tcPr>
          <w:p>
            <w:pPr>
              <w:spacing w:after="0"/>
              <w:rPr>
                <w:sz w:val="15"/>
                <w:szCs w:val="15"/>
                <w:color w:val="auto"/>
              </w:rPr>
            </w:pPr>
          </w:p>
        </w:tc>
        <w:tc>
          <w:tcPr>
            <w:tcW w:w="260" w:type="dxa"/>
            <w:vAlign w:val="bottom"/>
            <w:shd w:val="clear" w:color="auto" w:fill="CCEDFF"/>
          </w:tcPr>
          <w:p>
            <w:pPr>
              <w:spacing w:after="0"/>
              <w:rPr>
                <w:sz w:val="15"/>
                <w:szCs w:val="15"/>
                <w:color w:val="auto"/>
              </w:rPr>
            </w:pPr>
          </w:p>
        </w:tc>
        <w:tc>
          <w:tcPr>
            <w:tcW w:w="1460" w:type="dxa"/>
            <w:vAlign w:val="bottom"/>
            <w:shd w:val="clear" w:color="auto" w:fill="CCEDFF"/>
          </w:tcPr>
          <w:p>
            <w:pPr>
              <w:jc w:val="right"/>
              <w:ind w:right="59"/>
              <w:spacing w:after="0" w:line="183" w:lineRule="exact"/>
              <w:rPr>
                <w:sz w:val="20"/>
                <w:szCs w:val="20"/>
                <w:color w:val="auto"/>
              </w:rPr>
            </w:pPr>
            <w:r>
              <w:rPr>
                <w:rFonts w:ascii="Arial" w:cs="Arial" w:eastAsia="Arial" w:hAnsi="Arial"/>
                <w:sz w:val="16"/>
                <w:szCs w:val="16"/>
                <w:color w:val="auto"/>
              </w:rPr>
              <w:t>120,517</w:t>
            </w:r>
          </w:p>
        </w:tc>
      </w:tr>
      <w:tr>
        <w:trPr>
          <w:trHeight w:val="189"/>
        </w:trPr>
        <w:tc>
          <w:tcPr>
            <w:tcW w:w="5780" w:type="dxa"/>
            <w:vAlign w:val="bottom"/>
          </w:tcPr>
          <w:p>
            <w:pPr>
              <w:spacing w:after="0"/>
              <w:rPr>
                <w:sz w:val="20"/>
                <w:szCs w:val="20"/>
                <w:color w:val="auto"/>
              </w:rPr>
            </w:pPr>
            <w:r>
              <w:rPr>
                <w:rFonts w:ascii="Arial" w:cs="Arial" w:eastAsia="Arial" w:hAnsi="Arial"/>
                <w:sz w:val="16"/>
                <w:szCs w:val="16"/>
                <w:b w:val="1"/>
                <w:bCs w:val="1"/>
                <w:color w:val="auto"/>
              </w:rPr>
              <w:t>International &amp; Offshore</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89"/>
        </w:trPr>
        <w:tc>
          <w:tcPr>
            <w:tcW w:w="5780" w:type="dxa"/>
            <w:vAlign w:val="bottom"/>
            <w:shd w:val="clear" w:color="auto" w:fill="CCEDFF"/>
          </w:tcPr>
          <w:p>
            <w:pPr>
              <w:spacing w:after="0"/>
              <w:rPr>
                <w:sz w:val="20"/>
                <w:szCs w:val="20"/>
                <w:color w:val="auto"/>
              </w:rPr>
            </w:pPr>
            <w:r>
              <w:rPr>
                <w:rFonts w:ascii="Arial" w:cs="Arial" w:eastAsia="Arial" w:hAnsi="Arial"/>
                <w:sz w:val="16"/>
                <w:szCs w:val="16"/>
                <w:color w:val="auto"/>
              </w:rPr>
              <w:t>Products</w:t>
            </w:r>
          </w:p>
        </w:tc>
        <w:tc>
          <w:tcPr>
            <w:tcW w:w="120" w:type="dxa"/>
            <w:vAlign w:val="bottom"/>
            <w:shd w:val="clear" w:color="auto" w:fill="CCEDFF"/>
          </w:tcPr>
          <w:p>
            <w:pPr>
              <w:spacing w:after="0"/>
              <w:rPr>
                <w:sz w:val="16"/>
                <w:szCs w:val="16"/>
                <w:color w:val="auto"/>
              </w:rPr>
            </w:pPr>
          </w:p>
        </w:tc>
        <w:tc>
          <w:tcPr>
            <w:tcW w:w="260" w:type="dxa"/>
            <w:vAlign w:val="bottom"/>
            <w:shd w:val="clear" w:color="auto" w:fill="CCEDFF"/>
          </w:tcPr>
          <w:p>
            <w:pPr>
              <w:spacing w:after="0"/>
              <w:rPr>
                <w:sz w:val="16"/>
                <w:szCs w:val="16"/>
                <w:color w:val="auto"/>
              </w:rPr>
            </w:pPr>
          </w:p>
        </w:tc>
        <w:tc>
          <w:tcPr>
            <w:tcW w:w="144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73,373</w:t>
            </w:r>
          </w:p>
        </w:tc>
        <w:tc>
          <w:tcPr>
            <w:tcW w:w="120" w:type="dxa"/>
            <w:vAlign w:val="bottom"/>
            <w:shd w:val="clear" w:color="auto" w:fill="CCEDFF"/>
          </w:tcPr>
          <w:p>
            <w:pPr>
              <w:spacing w:after="0"/>
              <w:rPr>
                <w:sz w:val="16"/>
                <w:szCs w:val="16"/>
                <w:color w:val="auto"/>
              </w:rPr>
            </w:pPr>
          </w:p>
        </w:tc>
        <w:tc>
          <w:tcPr>
            <w:tcW w:w="160" w:type="dxa"/>
            <w:vAlign w:val="bottom"/>
            <w:shd w:val="clear" w:color="auto" w:fill="CCEDFF"/>
          </w:tcPr>
          <w:p>
            <w:pPr>
              <w:spacing w:after="0"/>
              <w:rPr>
                <w:sz w:val="16"/>
                <w:szCs w:val="16"/>
                <w:color w:val="auto"/>
              </w:rPr>
            </w:pPr>
          </w:p>
        </w:tc>
        <w:tc>
          <w:tcPr>
            <w:tcW w:w="152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108,926</w:t>
            </w:r>
          </w:p>
        </w:tc>
        <w:tc>
          <w:tcPr>
            <w:tcW w:w="120" w:type="dxa"/>
            <w:vAlign w:val="bottom"/>
            <w:shd w:val="clear" w:color="auto" w:fill="CCEDFF"/>
          </w:tcPr>
          <w:p>
            <w:pPr>
              <w:spacing w:after="0"/>
              <w:rPr>
                <w:sz w:val="16"/>
                <w:szCs w:val="16"/>
                <w:color w:val="auto"/>
              </w:rPr>
            </w:pPr>
          </w:p>
        </w:tc>
        <w:tc>
          <w:tcPr>
            <w:tcW w:w="260" w:type="dxa"/>
            <w:vAlign w:val="bottom"/>
            <w:shd w:val="clear" w:color="auto" w:fill="CCEDFF"/>
          </w:tcPr>
          <w:p>
            <w:pPr>
              <w:spacing w:after="0"/>
              <w:rPr>
                <w:sz w:val="16"/>
                <w:szCs w:val="16"/>
                <w:color w:val="auto"/>
              </w:rPr>
            </w:pPr>
          </w:p>
        </w:tc>
        <w:tc>
          <w:tcPr>
            <w:tcW w:w="1460" w:type="dxa"/>
            <w:vAlign w:val="bottom"/>
            <w:shd w:val="clear" w:color="auto" w:fill="CCEDFF"/>
          </w:tcPr>
          <w:p>
            <w:pPr>
              <w:jc w:val="right"/>
              <w:ind w:right="59"/>
              <w:spacing w:after="0"/>
              <w:rPr>
                <w:sz w:val="20"/>
                <w:szCs w:val="20"/>
                <w:color w:val="auto"/>
              </w:rPr>
            </w:pPr>
            <w:r>
              <w:rPr>
                <w:rFonts w:ascii="Arial" w:cs="Arial" w:eastAsia="Arial" w:hAnsi="Arial"/>
                <w:sz w:val="16"/>
                <w:szCs w:val="16"/>
                <w:color w:val="auto"/>
              </w:rPr>
              <w:t>92,095</w:t>
            </w:r>
          </w:p>
        </w:tc>
      </w:tr>
      <w:tr>
        <w:trPr>
          <w:trHeight w:val="189"/>
        </w:trPr>
        <w:tc>
          <w:tcPr>
            <w:tcW w:w="5780" w:type="dxa"/>
            <w:vAlign w:val="bottom"/>
          </w:tcPr>
          <w:p>
            <w:pPr>
              <w:spacing w:after="0"/>
              <w:rPr>
                <w:sz w:val="20"/>
                <w:szCs w:val="20"/>
                <w:color w:val="auto"/>
              </w:rPr>
            </w:pPr>
            <w:r>
              <w:rPr>
                <w:rFonts w:ascii="Arial" w:cs="Arial" w:eastAsia="Arial" w:hAnsi="Arial"/>
                <w:sz w:val="16"/>
                <w:szCs w:val="16"/>
                <w:color w:val="auto"/>
              </w:rPr>
              <w:t>Services</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14,121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12,629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18,312</w:t>
            </w:r>
          </w:p>
        </w:tc>
      </w:tr>
      <w:tr>
        <w:trPr>
          <w:trHeight w:val="189"/>
        </w:trPr>
        <w:tc>
          <w:tcPr>
            <w:tcW w:w="5780" w:type="dxa"/>
            <w:vAlign w:val="bottom"/>
            <w:tcBorders>
              <w:bottom w:val="single" w:sz="8" w:color="auto"/>
            </w:tcBorders>
            <w:shd w:val="clear" w:color="auto" w:fill="CCEDFF"/>
          </w:tcPr>
          <w:p>
            <w:pPr>
              <w:spacing w:after="0"/>
              <w:rPr>
                <w:sz w:val="20"/>
                <w:szCs w:val="20"/>
                <w:color w:val="auto"/>
              </w:rPr>
            </w:pPr>
            <w:r>
              <w:rPr>
                <w:rFonts w:ascii="Arial" w:cs="Arial" w:eastAsia="Arial" w:hAnsi="Arial"/>
                <w:sz w:val="16"/>
                <w:szCs w:val="16"/>
                <w:color w:val="auto"/>
              </w:rPr>
              <w:t>Rental</w:t>
            </w:r>
          </w:p>
        </w:tc>
        <w:tc>
          <w:tcPr>
            <w:tcW w:w="120" w:type="dxa"/>
            <w:vAlign w:val="bottom"/>
            <w:tcBorders>
              <w:bottom w:val="single" w:sz="8" w:color="CCEDFF"/>
            </w:tcBorders>
            <w:shd w:val="clear" w:color="auto" w:fill="CCEDFF"/>
          </w:tcPr>
          <w:p>
            <w:pPr>
              <w:spacing w:after="0"/>
              <w:rPr>
                <w:sz w:val="16"/>
                <w:szCs w:val="16"/>
                <w:color w:val="auto"/>
              </w:rPr>
            </w:pPr>
          </w:p>
        </w:tc>
        <w:tc>
          <w:tcPr>
            <w:tcW w:w="260" w:type="dxa"/>
            <w:vAlign w:val="bottom"/>
            <w:tcBorders>
              <w:bottom w:val="single" w:sz="8" w:color="auto"/>
            </w:tcBorders>
            <w:shd w:val="clear" w:color="auto" w:fill="CCEDFF"/>
          </w:tcPr>
          <w:p>
            <w:pPr>
              <w:spacing w:after="0"/>
              <w:rPr>
                <w:sz w:val="16"/>
                <w:szCs w:val="16"/>
                <w:color w:val="auto"/>
              </w:rPr>
            </w:pPr>
          </w:p>
        </w:tc>
        <w:tc>
          <w:tcPr>
            <w:tcW w:w="144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14,831</w:t>
            </w:r>
          </w:p>
        </w:tc>
        <w:tc>
          <w:tcPr>
            <w:tcW w:w="120" w:type="dxa"/>
            <w:vAlign w:val="bottom"/>
            <w:tcBorders>
              <w:bottom w:val="single" w:sz="8" w:color="CCEDFF"/>
            </w:tcBorders>
            <w:shd w:val="clear" w:color="auto" w:fill="CCEDFF"/>
          </w:tcPr>
          <w:p>
            <w:pPr>
              <w:spacing w:after="0"/>
              <w:rPr>
                <w:sz w:val="16"/>
                <w:szCs w:val="16"/>
                <w:color w:val="auto"/>
              </w:rPr>
            </w:pPr>
          </w:p>
        </w:tc>
        <w:tc>
          <w:tcPr>
            <w:tcW w:w="160" w:type="dxa"/>
            <w:vAlign w:val="bottom"/>
            <w:tcBorders>
              <w:bottom w:val="single" w:sz="8" w:color="auto"/>
            </w:tcBorders>
            <w:shd w:val="clear" w:color="auto" w:fill="CCEDFF"/>
          </w:tcPr>
          <w:p>
            <w:pPr>
              <w:spacing w:after="0"/>
              <w:rPr>
                <w:sz w:val="16"/>
                <w:szCs w:val="16"/>
                <w:color w:val="auto"/>
              </w:rPr>
            </w:pPr>
          </w:p>
        </w:tc>
        <w:tc>
          <w:tcPr>
            <w:tcW w:w="152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13,304</w:t>
            </w:r>
          </w:p>
        </w:tc>
        <w:tc>
          <w:tcPr>
            <w:tcW w:w="120" w:type="dxa"/>
            <w:vAlign w:val="bottom"/>
            <w:tcBorders>
              <w:bottom w:val="single" w:sz="8" w:color="CCEDFF"/>
            </w:tcBorders>
            <w:shd w:val="clear" w:color="auto" w:fill="CCEDFF"/>
          </w:tcPr>
          <w:p>
            <w:pPr>
              <w:spacing w:after="0"/>
              <w:rPr>
                <w:sz w:val="16"/>
                <w:szCs w:val="16"/>
                <w:color w:val="auto"/>
              </w:rPr>
            </w:pPr>
          </w:p>
        </w:tc>
        <w:tc>
          <w:tcPr>
            <w:tcW w:w="260" w:type="dxa"/>
            <w:vAlign w:val="bottom"/>
            <w:tcBorders>
              <w:bottom w:val="single" w:sz="8" w:color="auto"/>
            </w:tcBorders>
            <w:shd w:val="clear" w:color="auto" w:fill="CCEDFF"/>
          </w:tcPr>
          <w:p>
            <w:pPr>
              <w:spacing w:after="0"/>
              <w:rPr>
                <w:sz w:val="16"/>
                <w:szCs w:val="16"/>
                <w:color w:val="auto"/>
              </w:rPr>
            </w:pPr>
          </w:p>
        </w:tc>
        <w:tc>
          <w:tcPr>
            <w:tcW w:w="1460" w:type="dxa"/>
            <w:vAlign w:val="bottom"/>
            <w:tcBorders>
              <w:bottom w:val="single" w:sz="8" w:color="auto"/>
            </w:tcBorders>
            <w:shd w:val="clear" w:color="auto" w:fill="CCEDFF"/>
          </w:tcPr>
          <w:p>
            <w:pPr>
              <w:jc w:val="right"/>
              <w:ind w:right="59"/>
              <w:spacing w:after="0"/>
              <w:rPr>
                <w:sz w:val="20"/>
                <w:szCs w:val="20"/>
                <w:color w:val="auto"/>
              </w:rPr>
            </w:pPr>
            <w:r>
              <w:rPr>
                <w:rFonts w:ascii="Arial" w:cs="Arial" w:eastAsia="Arial" w:hAnsi="Arial"/>
                <w:sz w:val="16"/>
                <w:szCs w:val="16"/>
                <w:color w:val="auto"/>
              </w:rPr>
              <w:t>9,491</w:t>
            </w:r>
          </w:p>
        </w:tc>
      </w:tr>
      <w:tr>
        <w:trPr>
          <w:trHeight w:val="183"/>
        </w:trPr>
        <w:tc>
          <w:tcPr>
            <w:tcW w:w="578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6"/>
                <w:szCs w:val="16"/>
                <w:color w:val="auto"/>
              </w:rPr>
              <w:t>Revenue - International &amp; Offshore</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102,325</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134,859</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119,898</w:t>
            </w:r>
          </w:p>
        </w:tc>
      </w:tr>
      <w:tr>
        <w:trPr>
          <w:trHeight w:val="223"/>
        </w:trPr>
        <w:tc>
          <w:tcPr>
            <w:tcW w:w="5780" w:type="dxa"/>
            <w:vAlign w:val="bottom"/>
            <w:shd w:val="clear" w:color="auto" w:fill="CCEDFF"/>
          </w:tcPr>
          <w:p>
            <w:pPr>
              <w:spacing w:after="0" w:line="183" w:lineRule="exact"/>
              <w:rPr>
                <w:sz w:val="20"/>
                <w:szCs w:val="20"/>
                <w:color w:val="auto"/>
              </w:rPr>
            </w:pPr>
            <w:r>
              <w:rPr>
                <w:rFonts w:ascii="Arial" w:cs="Arial" w:eastAsia="Arial" w:hAnsi="Arial"/>
                <w:sz w:val="16"/>
                <w:szCs w:val="16"/>
                <w:b w:val="1"/>
                <w:bCs w:val="1"/>
                <w:color w:val="auto"/>
              </w:rPr>
              <w:t>Total Revenue</w:t>
            </w:r>
          </w:p>
        </w:tc>
        <w:tc>
          <w:tcPr>
            <w:tcW w:w="380" w:type="dxa"/>
            <w:vAlign w:val="bottom"/>
            <w:gridSpan w:val="2"/>
            <w:shd w:val="clear" w:color="auto" w:fill="CCEDFF"/>
          </w:tcPr>
          <w:p>
            <w:pPr>
              <w:jc w:val="right"/>
              <w:ind w:right="160"/>
              <w:spacing w:after="0" w:line="183" w:lineRule="exact"/>
              <w:rPr>
                <w:sz w:val="20"/>
                <w:szCs w:val="20"/>
                <w:color w:val="auto"/>
              </w:rPr>
            </w:pPr>
            <w:r>
              <w:rPr>
                <w:rFonts w:ascii="Arial" w:cs="Arial" w:eastAsia="Arial" w:hAnsi="Arial"/>
                <w:sz w:val="16"/>
                <w:szCs w:val="16"/>
                <w:b w:val="1"/>
                <w:bCs w:val="1"/>
                <w:color w:val="auto"/>
              </w:rPr>
              <w:t>$</w:t>
            </w:r>
          </w:p>
        </w:tc>
        <w:tc>
          <w:tcPr>
            <w:tcW w:w="144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b w:val="1"/>
                <w:bCs w:val="1"/>
                <w:color w:val="auto"/>
              </w:rPr>
              <w:t>239,031</w:t>
            </w:r>
          </w:p>
        </w:tc>
        <w:tc>
          <w:tcPr>
            <w:tcW w:w="280" w:type="dxa"/>
            <w:vAlign w:val="bottom"/>
            <w:gridSpan w:val="2"/>
            <w:shd w:val="clear" w:color="auto" w:fill="CCEDFF"/>
          </w:tcPr>
          <w:p>
            <w:pPr>
              <w:ind w:left="120"/>
              <w:spacing w:after="0" w:line="183" w:lineRule="exact"/>
              <w:rPr>
                <w:sz w:val="20"/>
                <w:szCs w:val="20"/>
                <w:color w:val="auto"/>
              </w:rPr>
            </w:pPr>
            <w:r>
              <w:rPr>
                <w:rFonts w:ascii="Arial" w:cs="Arial" w:eastAsia="Arial" w:hAnsi="Arial"/>
                <w:sz w:val="16"/>
                <w:szCs w:val="16"/>
                <w:b w:val="1"/>
                <w:bCs w:val="1"/>
                <w:color w:val="auto"/>
              </w:rPr>
              <w:t>$</w:t>
            </w:r>
          </w:p>
        </w:tc>
        <w:tc>
          <w:tcPr>
            <w:tcW w:w="152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b w:val="1"/>
                <w:bCs w:val="1"/>
                <w:color w:val="auto"/>
              </w:rPr>
              <w:t>273,602</w:t>
            </w:r>
          </w:p>
        </w:tc>
        <w:tc>
          <w:tcPr>
            <w:tcW w:w="380" w:type="dxa"/>
            <w:vAlign w:val="bottom"/>
            <w:gridSpan w:val="2"/>
            <w:shd w:val="clear" w:color="auto" w:fill="CCEDFF"/>
          </w:tcPr>
          <w:p>
            <w:pPr>
              <w:jc w:val="right"/>
              <w:ind w:right="160"/>
              <w:spacing w:after="0" w:line="183" w:lineRule="exact"/>
              <w:rPr>
                <w:sz w:val="20"/>
                <w:szCs w:val="20"/>
                <w:color w:val="auto"/>
              </w:rPr>
            </w:pPr>
            <w:r>
              <w:rPr>
                <w:rFonts w:ascii="Arial" w:cs="Arial" w:eastAsia="Arial" w:hAnsi="Arial"/>
                <w:sz w:val="16"/>
                <w:szCs w:val="16"/>
                <w:b w:val="1"/>
                <w:bCs w:val="1"/>
                <w:color w:val="auto"/>
              </w:rPr>
              <w:t>$</w:t>
            </w:r>
          </w:p>
        </w:tc>
        <w:tc>
          <w:tcPr>
            <w:tcW w:w="1460" w:type="dxa"/>
            <w:vAlign w:val="bottom"/>
            <w:shd w:val="clear" w:color="auto" w:fill="CCEDFF"/>
          </w:tcPr>
          <w:p>
            <w:pPr>
              <w:jc w:val="right"/>
              <w:ind w:right="59"/>
              <w:spacing w:after="0" w:line="183" w:lineRule="exact"/>
              <w:rPr>
                <w:sz w:val="20"/>
                <w:szCs w:val="20"/>
                <w:color w:val="auto"/>
              </w:rPr>
            </w:pPr>
            <w:r>
              <w:rPr>
                <w:rFonts w:ascii="Arial" w:cs="Arial" w:eastAsia="Arial" w:hAnsi="Arial"/>
                <w:sz w:val="16"/>
                <w:szCs w:val="16"/>
                <w:b w:val="1"/>
                <w:bCs w:val="1"/>
                <w:color w:val="auto"/>
              </w:rPr>
              <w:t>240,415</w:t>
            </w:r>
          </w:p>
        </w:tc>
      </w:tr>
      <w:tr>
        <w:trPr>
          <w:trHeight w:val="959"/>
        </w:trPr>
        <w:tc>
          <w:tcPr>
            <w:tcW w:w="578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CCEDFF"/>
              <w:bottom w:val="single" w:sz="8" w:color="9A9A9A"/>
            </w:tcBorders>
          </w:tcPr>
          <w:p>
            <w:pPr>
              <w:spacing w:after="0"/>
              <w:rPr>
                <w:sz w:val="24"/>
                <w:szCs w:val="24"/>
                <w:color w:val="auto"/>
              </w:rPr>
            </w:pPr>
          </w:p>
        </w:tc>
        <w:tc>
          <w:tcPr>
            <w:tcW w:w="260" w:type="dxa"/>
            <w:vAlign w:val="bottom"/>
            <w:tcBorders>
              <w:top w:val="single" w:sz="8" w:color="auto"/>
              <w:bottom w:val="single" w:sz="8" w:color="9A9A9A"/>
            </w:tcBorders>
          </w:tcPr>
          <w:p>
            <w:pPr>
              <w:spacing w:after="0"/>
              <w:rPr>
                <w:sz w:val="24"/>
                <w:szCs w:val="24"/>
                <w:color w:val="auto"/>
              </w:rPr>
            </w:pPr>
          </w:p>
        </w:tc>
        <w:tc>
          <w:tcPr>
            <w:tcW w:w="144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CCEDFF"/>
              <w:bottom w:val="single" w:sz="8" w:color="9A9A9A"/>
            </w:tcBorders>
          </w:tcPr>
          <w:p>
            <w:pPr>
              <w:spacing w:after="0"/>
              <w:rPr>
                <w:sz w:val="24"/>
                <w:szCs w:val="24"/>
                <w:color w:val="auto"/>
              </w:rPr>
            </w:pPr>
          </w:p>
        </w:tc>
        <w:tc>
          <w:tcPr>
            <w:tcW w:w="160" w:type="dxa"/>
            <w:vAlign w:val="bottom"/>
            <w:tcBorders>
              <w:top w:val="single" w:sz="8" w:color="auto"/>
              <w:bottom w:val="single" w:sz="8" w:color="9A9A9A"/>
            </w:tcBorders>
          </w:tcPr>
          <w:p>
            <w:pPr>
              <w:spacing w:after="0"/>
              <w:rPr>
                <w:sz w:val="24"/>
                <w:szCs w:val="24"/>
                <w:color w:val="auto"/>
              </w:rPr>
            </w:pPr>
          </w:p>
        </w:tc>
        <w:tc>
          <w:tcPr>
            <w:tcW w:w="152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CCEDFF"/>
              <w:bottom w:val="single" w:sz="8" w:color="9A9A9A"/>
            </w:tcBorders>
          </w:tcPr>
          <w:p>
            <w:pPr>
              <w:spacing w:after="0"/>
              <w:rPr>
                <w:sz w:val="24"/>
                <w:szCs w:val="24"/>
                <w:color w:val="auto"/>
              </w:rPr>
            </w:pPr>
          </w:p>
        </w:tc>
        <w:tc>
          <w:tcPr>
            <w:tcW w:w="260" w:type="dxa"/>
            <w:vAlign w:val="bottom"/>
            <w:tcBorders>
              <w:top w:val="single" w:sz="8" w:color="auto"/>
              <w:bottom w:val="single" w:sz="8" w:color="9A9A9A"/>
            </w:tcBorders>
          </w:tcPr>
          <w:p>
            <w:pPr>
              <w:spacing w:after="0"/>
              <w:rPr>
                <w:sz w:val="24"/>
                <w:szCs w:val="24"/>
                <w:color w:val="auto"/>
              </w:rPr>
            </w:pPr>
          </w:p>
        </w:tc>
        <w:tc>
          <w:tcPr>
            <w:tcW w:w="1460" w:type="dxa"/>
            <w:vAlign w:val="bottom"/>
            <w:tcBorders>
              <w:top w:val="single" w:sz="8" w:color="auto"/>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-916305</wp:posOffset>
            </wp:positionV>
            <wp:extent cx="7747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-916305</wp:posOffset>
            </wp:positionV>
            <wp:extent cx="7683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-916305</wp:posOffset>
            </wp:positionV>
            <wp:extent cx="7683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-659130</wp:posOffset>
            </wp:positionV>
            <wp:extent cx="774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-641985</wp:posOffset>
            </wp:positionV>
            <wp:extent cx="774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-659130</wp:posOffset>
            </wp:positionV>
            <wp:extent cx="768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-641985</wp:posOffset>
            </wp:positionV>
            <wp:extent cx="768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-659130</wp:posOffset>
            </wp:positionV>
            <wp:extent cx="768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-641985</wp:posOffset>
            </wp:positionV>
            <wp:extent cx="768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ectPr>
          <w:pgSz w:w="11900" w:h="16838" w:orient="portrait"/>
          <w:cols w:equalWidth="0" w:num="1">
            <w:col w:w="11240"/>
          </w:cols>
          <w:pgMar w:left="320" w:top="1236" w:right="339" w:bottom="1440" w:gutter="0" w:footer="0" w:header="0"/>
        </w:sectPr>
      </w:pPr>
    </w:p>
    <w:bookmarkStart w:id="14" w:name="page15"/>
    <w:bookmarkEnd w:id="1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lowerLetter"/>
      <w:start w:val="4"/>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2026-05-04T15:36:35Z</dcterms:created>
  <dcterms:modified xsi:type="dcterms:W3CDTF">2026-05-04T15:36:35Z</dcterms:modified>
</cp:coreProperties>
</file>